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E54EC8" w14:textId="0213FAF6" w:rsidR="00171D8E" w:rsidRPr="00B95195" w:rsidRDefault="004027F3" w:rsidP="00616735">
      <w:pPr>
        <w:jc w:val="center"/>
        <w:rPr>
          <w:b/>
          <w:bCs/>
          <w:caps/>
          <w:spacing w:val="60"/>
          <w:sz w:val="32"/>
          <w:szCs w:val="32"/>
        </w:rPr>
      </w:pPr>
      <w:r w:rsidRPr="00B95195">
        <w:rPr>
          <w:b/>
          <w:bCs/>
          <w:caps/>
          <w:spacing w:val="60"/>
          <w:sz w:val="32"/>
          <w:szCs w:val="32"/>
        </w:rPr>
        <w:t>Kurzstudie</w:t>
      </w:r>
      <w:r w:rsidR="008E7662" w:rsidRPr="00B95195">
        <w:rPr>
          <w:b/>
          <w:bCs/>
          <w:caps/>
          <w:spacing w:val="60"/>
          <w:sz w:val="32"/>
          <w:szCs w:val="32"/>
        </w:rPr>
        <w:t xml:space="preserve"> </w:t>
      </w:r>
    </w:p>
    <w:p w14:paraId="6D5C874B" w14:textId="11BF46E1" w:rsidR="00271E68" w:rsidRDefault="00271E68" w:rsidP="000D25B7"/>
    <w:p w14:paraId="57A979C7" w14:textId="77777777" w:rsidR="004C03FE" w:rsidRPr="00586C66" w:rsidRDefault="004C03FE" w:rsidP="004C03FE">
      <w:pPr>
        <w:jc w:val="center"/>
        <w:rPr>
          <w:color w:val="0070C0"/>
          <w:sz w:val="28"/>
          <w:szCs w:val="28"/>
        </w:rPr>
      </w:pPr>
      <w:r w:rsidRPr="00586C66">
        <w:rPr>
          <w:rFonts w:eastAsiaTheme="majorEastAsia" w:cstheme="majorBidi"/>
          <w:b/>
          <w:color w:val="0070C0"/>
          <w:sz w:val="40"/>
          <w:szCs w:val="40"/>
        </w:rPr>
        <w:t>Sind die Stahlbaupreise unberechenbar?</w:t>
      </w:r>
    </w:p>
    <w:p w14:paraId="1BB1B750" w14:textId="77777777" w:rsidR="004C03FE" w:rsidRPr="004C03FE" w:rsidRDefault="004C03FE" w:rsidP="004C03FE">
      <w:pPr>
        <w:rPr>
          <w:b/>
          <w:bCs/>
        </w:rPr>
      </w:pPr>
    </w:p>
    <w:p w14:paraId="0BD240BF" w14:textId="28E39EC6" w:rsidR="004C03FE" w:rsidRPr="004C03FE" w:rsidRDefault="004C03FE" w:rsidP="004C03FE">
      <w:pPr>
        <w:rPr>
          <w:b/>
          <w:bCs/>
        </w:rPr>
      </w:pPr>
      <w:r w:rsidRPr="004C03FE">
        <w:rPr>
          <w:b/>
          <w:bCs/>
        </w:rPr>
        <w:t>Entwicklungen globalen Ausmaße</w:t>
      </w:r>
      <w:r w:rsidR="00505948">
        <w:rPr>
          <w:b/>
          <w:bCs/>
        </w:rPr>
        <w:t>s</w:t>
      </w:r>
      <w:r w:rsidRPr="004C03FE">
        <w:rPr>
          <w:b/>
          <w:bCs/>
        </w:rPr>
        <w:t xml:space="preserve"> wirken sich scheinbar automatisch auf die Stahlbranche aus und führen dort zu überraschenden Preisanstiegen. Viele Leser erinnern sich noch an die Preisrally</w:t>
      </w:r>
      <w:r w:rsidR="00C24A9A">
        <w:rPr>
          <w:b/>
          <w:bCs/>
        </w:rPr>
        <w:t>e</w:t>
      </w:r>
      <w:r w:rsidRPr="004C03FE">
        <w:rPr>
          <w:b/>
          <w:bCs/>
        </w:rPr>
        <w:t xml:space="preserve"> 2008, während der der Preis für Stahlprodukte innerhalb weniger Monate um über 50 % angestiegen ist. Und auch jetzt häufen sich wieder die Zeitungsartikel, in denen vor steigenden Schrott- und Stahlpreisen gewarnt wird. Der Stahlbau gilt – mal wieder – als schwer kalkulierbar. Aber stimmt es wirklich, dass die steigenden Rohstoffpreise automatisch auch zu höheren Baupreisen führen? Eine detaillierte Analyse entlang der Wertschöpfungskette „Stahlbau“ liefert entscheidende Antworten. </w:t>
      </w:r>
    </w:p>
    <w:p w14:paraId="1C0A9A35" w14:textId="77777777" w:rsidR="004C03FE" w:rsidRPr="004C03FE" w:rsidRDefault="004C03FE" w:rsidP="004C03FE">
      <w:pPr>
        <w:rPr>
          <w:b/>
          <w:bCs/>
        </w:rPr>
      </w:pPr>
    </w:p>
    <w:p w14:paraId="5DCAAD48" w14:textId="6760ED0B" w:rsidR="004C03FE" w:rsidRPr="004C03FE" w:rsidRDefault="004C03FE" w:rsidP="004C03FE">
      <w:r w:rsidRPr="004C03FE">
        <w:t xml:space="preserve">Aktuell häufen sich wieder die Schlagzeilen über „explodierende Stahlpreise“, „zurückgezogene Angebote“ sowie „erschöpfte Lagerbestände und lange Lieferzeiten für Stahlprodukte“. All dies verunsichert Planer und Bauherren sowie die am Ende der Wertschöpfungskette Stahlbau stehenden Stahlbauer. Das Bauen mit Stahl wirkt aufgrund der volatilen Materialpreise schwer kalkulierbar und damit risikobehaftet. Im </w:t>
      </w:r>
      <w:r w:rsidR="009A2F5E">
        <w:t>Folgenden</w:t>
      </w:r>
      <w:r w:rsidRPr="004C03FE">
        <w:t xml:space="preserve"> wird dargelegt, dass diese Sorgen bei vorausschauender Planung unbegründet sind und auch weiterhin mit dem Stahlbau gerechnet werden kann.</w:t>
      </w:r>
    </w:p>
    <w:p w14:paraId="43668EAE" w14:textId="77777777" w:rsidR="004C03FE" w:rsidRPr="004C03FE" w:rsidRDefault="004C03FE" w:rsidP="004C03FE"/>
    <w:p w14:paraId="507C75C9" w14:textId="77777777" w:rsidR="004C03FE" w:rsidRPr="004C03FE" w:rsidRDefault="004C03FE" w:rsidP="004C03FE">
      <w:pPr>
        <w:outlineLvl w:val="0"/>
        <w:rPr>
          <w:b/>
          <w:bCs/>
          <w:sz w:val="28"/>
          <w:szCs w:val="28"/>
        </w:rPr>
      </w:pPr>
      <w:r w:rsidRPr="004C03FE">
        <w:rPr>
          <w:b/>
          <w:bCs/>
          <w:sz w:val="28"/>
          <w:szCs w:val="28"/>
        </w:rPr>
        <w:t xml:space="preserve">Wertschöpfungskette „Stahlbau“ </w:t>
      </w:r>
    </w:p>
    <w:p w14:paraId="51BF9249" w14:textId="1E223D40" w:rsidR="004C03FE" w:rsidRPr="004C03FE" w:rsidRDefault="009A2F5E" w:rsidP="004C03FE">
      <w:r w:rsidRPr="004C03FE">
        <w:t xml:space="preserve">Um </w:t>
      </w:r>
      <w:r w:rsidR="009A20D6" w:rsidRPr="009A20D6">
        <w:t>die Preiseinflüsse auf den Stahlbau verstehen und deuten zu können, i</w:t>
      </w:r>
      <w:r w:rsidRPr="004C03FE">
        <w:t xml:space="preserve">st es sinnvoll, </w:t>
      </w:r>
      <w:r w:rsidR="009A20D6" w:rsidRPr="009A20D6">
        <w:t xml:space="preserve">sich zunächst mit der </w:t>
      </w:r>
      <w:r w:rsidRPr="004C03FE">
        <w:t xml:space="preserve">Wertschöpfungskette des Stahlbaus </w:t>
      </w:r>
      <w:r w:rsidR="009A20D6" w:rsidRPr="009A20D6">
        <w:t xml:space="preserve">zu befassen: </w:t>
      </w:r>
      <w:r w:rsidR="004C03FE" w:rsidRPr="004C03FE">
        <w:t>Stahl wird weltweit erzeugt und für verschiedenste Produkte</w:t>
      </w:r>
      <w:r w:rsidR="002A65C4">
        <w:t>, zum Beispiel</w:t>
      </w:r>
      <w:r w:rsidR="004C03FE" w:rsidRPr="004C03FE">
        <w:t xml:space="preserve"> Maschinen, Gebäude, Autos, Schiffe</w:t>
      </w:r>
      <w:r w:rsidR="002A65C4">
        <w:t xml:space="preserve"> und</w:t>
      </w:r>
      <w:r w:rsidR="004C03FE" w:rsidRPr="004C03FE">
        <w:t xml:space="preserve"> Haushaltsgeräte</w:t>
      </w:r>
      <w:r w:rsidR="002A65C4">
        <w:t>,</w:t>
      </w:r>
      <w:r w:rsidR="004C03FE" w:rsidRPr="004C03FE">
        <w:t xml:space="preserve"> eingesetzt. Unabhängig von der Verwendung erfolgt die Herstellung entweder über die Hochofenroute, bei der Stahl überwiegend aus Eisenerz und Stahlschrott gewonnen wird, oder über die Elektroofenroute, bei der ausschließlich Stahlschrott eingeschmolzen wird. </w:t>
      </w:r>
    </w:p>
    <w:p w14:paraId="3D5BD46F" w14:textId="77777777" w:rsidR="004C03FE" w:rsidRPr="004C03FE" w:rsidRDefault="004C03FE" w:rsidP="004C03FE"/>
    <w:p w14:paraId="06F17EF8" w14:textId="77777777" w:rsidR="004C03FE" w:rsidRPr="004C03FE" w:rsidRDefault="004C03FE" w:rsidP="004C03FE">
      <w:pPr>
        <w:keepNext/>
        <w:jc w:val="center"/>
      </w:pPr>
      <w:r w:rsidRPr="004C03FE">
        <w:rPr>
          <w:noProof/>
        </w:rPr>
        <w:drawing>
          <wp:inline distT="0" distB="0" distL="0" distR="0" wp14:anchorId="5A9346C1" wp14:editId="3522E7B8">
            <wp:extent cx="5759385" cy="14192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rotWithShape="1">
                    <a:blip r:embed="rId8">
                      <a:extLst>
                        <a:ext uri="{28A0092B-C50C-407E-A947-70E740481C1C}">
                          <a14:useLocalDpi xmlns:a14="http://schemas.microsoft.com/office/drawing/2010/main" val="0"/>
                        </a:ext>
                      </a:extLst>
                    </a:blip>
                    <a:srcRect b="5855"/>
                    <a:stretch/>
                  </pic:blipFill>
                  <pic:spPr bwMode="auto">
                    <a:xfrm>
                      <a:off x="0" y="0"/>
                      <a:ext cx="5760000" cy="1419377"/>
                    </a:xfrm>
                    <a:prstGeom prst="rect">
                      <a:avLst/>
                    </a:prstGeom>
                    <a:noFill/>
                    <a:ln>
                      <a:noFill/>
                    </a:ln>
                    <a:extLst>
                      <a:ext uri="{53640926-AAD7-44D8-BBD7-CCE9431645EC}">
                        <a14:shadowObscured xmlns:a14="http://schemas.microsoft.com/office/drawing/2010/main"/>
                      </a:ext>
                    </a:extLst>
                  </pic:spPr>
                </pic:pic>
              </a:graphicData>
            </a:graphic>
          </wp:inline>
        </w:drawing>
      </w:r>
    </w:p>
    <w:p w14:paraId="79A09EFF" w14:textId="522606D0" w:rsidR="004C03FE" w:rsidRPr="004C03FE" w:rsidRDefault="004C03FE" w:rsidP="004C03FE">
      <w:pPr>
        <w:rPr>
          <w:i/>
          <w:iCs/>
          <w:sz w:val="18"/>
          <w:szCs w:val="18"/>
        </w:rPr>
      </w:pPr>
      <w:r w:rsidRPr="004C03FE">
        <w:rPr>
          <w:i/>
          <w:iCs/>
          <w:sz w:val="18"/>
          <w:szCs w:val="18"/>
        </w:rPr>
        <w:t xml:space="preserve">Abbildung </w:t>
      </w:r>
      <w:r w:rsidRPr="004C03FE">
        <w:rPr>
          <w:i/>
          <w:iCs/>
          <w:sz w:val="18"/>
          <w:szCs w:val="18"/>
        </w:rPr>
        <w:fldChar w:fldCharType="begin"/>
      </w:r>
      <w:r w:rsidRPr="004C03FE">
        <w:rPr>
          <w:i/>
          <w:iCs/>
          <w:sz w:val="18"/>
          <w:szCs w:val="18"/>
        </w:rPr>
        <w:instrText xml:space="preserve"> SEQ Abbildung \* ARABIC </w:instrText>
      </w:r>
      <w:r w:rsidRPr="004C03FE">
        <w:rPr>
          <w:i/>
          <w:iCs/>
          <w:sz w:val="18"/>
          <w:szCs w:val="18"/>
        </w:rPr>
        <w:fldChar w:fldCharType="separate"/>
      </w:r>
      <w:r w:rsidR="00B4039A">
        <w:rPr>
          <w:i/>
          <w:iCs/>
          <w:noProof/>
          <w:sz w:val="18"/>
          <w:szCs w:val="18"/>
        </w:rPr>
        <w:t>1</w:t>
      </w:r>
      <w:r w:rsidRPr="004C03FE">
        <w:rPr>
          <w:i/>
          <w:iCs/>
          <w:noProof/>
          <w:sz w:val="18"/>
          <w:szCs w:val="18"/>
        </w:rPr>
        <w:fldChar w:fldCharType="end"/>
      </w:r>
      <w:r w:rsidRPr="004C03FE">
        <w:rPr>
          <w:i/>
          <w:iCs/>
          <w:sz w:val="18"/>
          <w:szCs w:val="18"/>
        </w:rPr>
        <w:t xml:space="preserve">: Wertschöpfungskette </w:t>
      </w:r>
      <w:r w:rsidR="00AE4E18">
        <w:rPr>
          <w:i/>
          <w:iCs/>
          <w:sz w:val="18"/>
          <w:szCs w:val="18"/>
        </w:rPr>
        <w:t>„</w:t>
      </w:r>
      <w:r w:rsidRPr="004C03FE">
        <w:rPr>
          <w:i/>
          <w:iCs/>
          <w:sz w:val="18"/>
          <w:szCs w:val="18"/>
        </w:rPr>
        <w:t>Stahlbau</w:t>
      </w:r>
      <w:r w:rsidR="00AE4E18">
        <w:rPr>
          <w:i/>
          <w:iCs/>
          <w:sz w:val="18"/>
          <w:szCs w:val="18"/>
        </w:rPr>
        <w:t>“</w:t>
      </w:r>
    </w:p>
    <w:p w14:paraId="2200919A" w14:textId="77777777" w:rsidR="004C03FE" w:rsidRPr="004C03FE" w:rsidRDefault="004C03FE" w:rsidP="004C03FE"/>
    <w:p w14:paraId="0ADE8941" w14:textId="77777777" w:rsidR="004C03FE" w:rsidRPr="004C03FE" w:rsidRDefault="004C03FE" w:rsidP="004C03FE">
      <w:pPr>
        <w:outlineLvl w:val="1"/>
        <w:rPr>
          <w:b/>
          <w:bCs/>
        </w:rPr>
      </w:pPr>
      <w:r w:rsidRPr="004C03FE">
        <w:rPr>
          <w:b/>
          <w:bCs/>
        </w:rPr>
        <w:t>Rohstoffabbau und -aufbereitung</w:t>
      </w:r>
    </w:p>
    <w:p w14:paraId="164440F5" w14:textId="77777777" w:rsidR="004C03FE" w:rsidRPr="004C03FE" w:rsidRDefault="004C03FE" w:rsidP="004C03FE">
      <w:r w:rsidRPr="004C03FE">
        <w:t>Für die Stahlerzeugung werden primäre und sekundäre Roh- und Brennstoffe eingesetzt. Zu den Primärstoffen zählen unter anderem Eisenerz, Erdgas und Koks. Diese Rohstoffe müssen aus natürlichen Ressourcen gewonnen werden. Zusätzlich werden bei der Stahlherstellung sekundäre Rohstoffe eingesetzt. Der bedeutendste Sekundärrohstoff ist Stahlschrott, der nach der Demontage von Gebäuden, Autos etc. eingeschmolzen und recycelt wird.</w:t>
      </w:r>
    </w:p>
    <w:p w14:paraId="537CAF46" w14:textId="77777777" w:rsidR="004C03FE" w:rsidRPr="004C03FE" w:rsidRDefault="004C03FE" w:rsidP="004C03FE"/>
    <w:p w14:paraId="715CFA13" w14:textId="77777777" w:rsidR="004C03FE" w:rsidRPr="004C03FE" w:rsidRDefault="004C03FE" w:rsidP="00E7043B">
      <w:pPr>
        <w:keepNext/>
        <w:outlineLvl w:val="1"/>
        <w:rPr>
          <w:b/>
          <w:bCs/>
        </w:rPr>
      </w:pPr>
      <w:r w:rsidRPr="004C03FE">
        <w:rPr>
          <w:b/>
          <w:bCs/>
        </w:rPr>
        <w:t>Herstellung der Stahlprofile und -bleche</w:t>
      </w:r>
    </w:p>
    <w:p w14:paraId="16F2AF74" w14:textId="77777777" w:rsidR="004C03FE" w:rsidRPr="004C03FE" w:rsidRDefault="004C03FE" w:rsidP="004C03FE">
      <w:r w:rsidRPr="004C03FE">
        <w:t xml:space="preserve">Die Herstellung des Rohstahls erfolgt im Wesentlichen über zwei Routen: </w:t>
      </w:r>
    </w:p>
    <w:p w14:paraId="7741B50D" w14:textId="77777777" w:rsidR="004C03FE" w:rsidRPr="004C03FE" w:rsidRDefault="004C03FE" w:rsidP="004C03FE">
      <w:pPr>
        <w:numPr>
          <w:ilvl w:val="0"/>
          <w:numId w:val="3"/>
        </w:numPr>
        <w:ind w:left="426" w:hanging="284"/>
        <w:contextualSpacing/>
      </w:pPr>
      <w:r w:rsidRPr="004C03FE">
        <w:t>Bei der Hochofenroute muss zunächst Roheisen aus pelletiertem Eisenerz gewonnen werden. Danach wird das Roheisen im Konverter mit Sauerstoff „gefrischt“. Durch das Frischen wird ein Großteil des eingeschlossenen Phosphors und Kohlenstoffs entfernt. Bei diesem Prozess wird etwa 20 % Stahlschrott zur Kühlung eingesetzt.</w:t>
      </w:r>
    </w:p>
    <w:p w14:paraId="2ECBB19B" w14:textId="77777777" w:rsidR="004C03FE" w:rsidRPr="004C03FE" w:rsidRDefault="004C03FE" w:rsidP="004C03FE">
      <w:pPr>
        <w:numPr>
          <w:ilvl w:val="0"/>
          <w:numId w:val="3"/>
        </w:numPr>
        <w:ind w:left="426" w:hanging="284"/>
        <w:contextualSpacing/>
      </w:pPr>
      <w:r w:rsidRPr="004C03FE">
        <w:t xml:space="preserve">Beim Elektrostahlverfahren wird reiner Stahlschrott unter Einsatz von elektrischem Strom eingeschmolzen. Da es sich bei Stahlschrott um reine Recycling-Materialien handelt, wird dieses Verfahren auch oft als „Sekundärroute“ bezeichnet. </w:t>
      </w:r>
    </w:p>
    <w:p w14:paraId="576940C7" w14:textId="4EFF4DEA" w:rsidR="004C03FE" w:rsidRPr="004C03FE" w:rsidRDefault="004C03FE" w:rsidP="004C03FE">
      <w:r w:rsidRPr="004C03FE">
        <w:lastRenderedPageBreak/>
        <w:t>Schließlich wird der Stahl geformt. Hierzu werden die Brammen erneut erhitzt und gewalzt. Es entstehen Langprodukte (z. B. Stahlprofile) oder Flachprodukte (Bleche).</w:t>
      </w:r>
    </w:p>
    <w:p w14:paraId="7BE6F858" w14:textId="77777777" w:rsidR="004C03FE" w:rsidRPr="004C03FE" w:rsidRDefault="004C03FE" w:rsidP="004C03FE"/>
    <w:p w14:paraId="66D230F1" w14:textId="77777777" w:rsidR="004C03FE" w:rsidRPr="004C03FE" w:rsidRDefault="004C03FE" w:rsidP="004C03FE">
      <w:pPr>
        <w:outlineLvl w:val="1"/>
        <w:rPr>
          <w:b/>
          <w:bCs/>
        </w:rPr>
      </w:pPr>
      <w:r w:rsidRPr="004C03FE">
        <w:rPr>
          <w:b/>
          <w:bCs/>
        </w:rPr>
        <w:t xml:space="preserve">Handel </w:t>
      </w:r>
    </w:p>
    <w:p w14:paraId="28AC79D3" w14:textId="77777777" w:rsidR="004C03FE" w:rsidRPr="004C03FE" w:rsidRDefault="004C03FE" w:rsidP="004C03FE">
      <w:r w:rsidRPr="004C03FE">
        <w:t xml:space="preserve">Nach Durchlaufen aller Produktionsschritte werden die fertigen Erzeugnisse meistens an einen Händler verkauft und dort zwischengelagert, bevor sie den Stahlbauer erreichen. </w:t>
      </w:r>
    </w:p>
    <w:p w14:paraId="7BCA592F" w14:textId="77777777" w:rsidR="004C03FE" w:rsidRPr="004C03FE" w:rsidRDefault="004C03FE" w:rsidP="004C03FE"/>
    <w:p w14:paraId="1CCC4F7F" w14:textId="0B67F7AE" w:rsidR="004C03FE" w:rsidRPr="004C03FE" w:rsidRDefault="004C03FE" w:rsidP="004C03FE">
      <w:r w:rsidRPr="004C03FE">
        <w:t>Parallel zur Herstellung,</w:t>
      </w:r>
      <w:r w:rsidR="003B5CF8">
        <w:t xml:space="preserve"> also</w:t>
      </w:r>
      <w:r w:rsidRPr="004C03FE">
        <w:t xml:space="preserve"> lange </w:t>
      </w:r>
      <w:r w:rsidR="003B5CF8">
        <w:t>vor der</w:t>
      </w:r>
      <w:r w:rsidRPr="004C03FE">
        <w:t xml:space="preserve"> für den Auftraggeber sichtbare</w:t>
      </w:r>
      <w:r w:rsidR="003B5CF8">
        <w:t>n</w:t>
      </w:r>
      <w:r w:rsidRPr="004C03FE">
        <w:t xml:space="preserve"> Montage auf der Baustelle, erstellt der Stahlbauer die Werkstattzeichnungen und beginnt, die Produktion der einzelnen Bauteile für die Konstruktion zu terminieren. Dabei prüft er auch, ob die erforderlichen Profile und Bleche in ausreichender Stückzahl vorhanden sind bzw. bestellt diese entweder beim Handel oder direkt beim Hersteller. Aufgrund wechselnder Produktionspläne der Hersteller und ggf. hoher Nachfrage kann es mitunter zu längeren Lieferzeiten kommen. </w:t>
      </w:r>
    </w:p>
    <w:p w14:paraId="65127282" w14:textId="77777777" w:rsidR="004C03FE" w:rsidRPr="004C03FE" w:rsidRDefault="004C03FE" w:rsidP="004C03FE"/>
    <w:p w14:paraId="0FBFC7FC" w14:textId="77777777" w:rsidR="004C03FE" w:rsidRPr="004C03FE" w:rsidRDefault="004C03FE" w:rsidP="004C03FE">
      <w:pPr>
        <w:outlineLvl w:val="1"/>
        <w:rPr>
          <w:b/>
          <w:bCs/>
        </w:rPr>
      </w:pPr>
      <w:r w:rsidRPr="004C03FE">
        <w:rPr>
          <w:b/>
          <w:bCs/>
        </w:rPr>
        <w:t>Herstellung der Stahlkonstruktion</w:t>
      </w:r>
    </w:p>
    <w:p w14:paraId="4B67D175" w14:textId="2A8CACAE" w:rsidR="004C03FE" w:rsidRPr="004C03FE" w:rsidRDefault="004C03FE" w:rsidP="004C03FE">
      <w:r w:rsidRPr="004C03FE">
        <w:t xml:space="preserve">Die Herstellung einer Stahlkonstruktion kann je nach Größe und Bearbeitungsaufwand mehrere Wochen in Anspruch nehmen. Der Stahlbauer erstellt aus den standardisierten Profilen und Blechen durch Schneiden, Bohren, Schweißen etc. individuelle, transportfähige Bauteile. Je nach Bedarf folgen weitere Schritte wie das Beschichten oder Feuerverzinken. Die fertigen Elemente werden </w:t>
      </w:r>
      <w:r w:rsidR="00935C60" w:rsidRPr="004C03FE">
        <w:t>zwischengelagert,</w:t>
      </w:r>
      <w:r w:rsidRPr="004C03FE">
        <w:t xml:space="preserve"> bis die Vorarbeiten auf der Baustelle abgeschlossen sind und die Montage beginnen kann. </w:t>
      </w:r>
    </w:p>
    <w:p w14:paraId="68DB5735" w14:textId="77777777" w:rsidR="004C03FE" w:rsidRPr="004C03FE" w:rsidRDefault="004C03FE" w:rsidP="004C03FE"/>
    <w:p w14:paraId="41AD8710" w14:textId="77777777" w:rsidR="004C03FE" w:rsidRPr="004C03FE" w:rsidRDefault="004C03FE" w:rsidP="004C03FE">
      <w:pPr>
        <w:outlineLvl w:val="1"/>
        <w:rPr>
          <w:b/>
          <w:bCs/>
        </w:rPr>
      </w:pPr>
      <w:r w:rsidRPr="004C03FE">
        <w:rPr>
          <w:b/>
          <w:bCs/>
        </w:rPr>
        <w:t xml:space="preserve">Transport und Montage </w:t>
      </w:r>
    </w:p>
    <w:p w14:paraId="39233F7D" w14:textId="43D4C2BF" w:rsidR="004C03FE" w:rsidRPr="004C03FE" w:rsidRDefault="004C03FE" w:rsidP="004C03FE">
      <w:r w:rsidRPr="004C03FE">
        <w:t xml:space="preserve">Die vorgefertigten Stahlbauteile werden zum Einbauort transportiert und dort mittels Schrauben oder Schweißen zur finalen Konstruktion zusammengefügt. </w:t>
      </w:r>
    </w:p>
    <w:p w14:paraId="18476D9D" w14:textId="77777777" w:rsidR="004C03FE" w:rsidRPr="004C03FE" w:rsidRDefault="004C03FE" w:rsidP="004C03FE"/>
    <w:p w14:paraId="0744D34A" w14:textId="77777777" w:rsidR="004C03FE" w:rsidRPr="004C03FE" w:rsidRDefault="004C03FE" w:rsidP="004C03FE">
      <w:pPr>
        <w:outlineLvl w:val="1"/>
        <w:rPr>
          <w:b/>
          <w:bCs/>
        </w:rPr>
      </w:pPr>
      <w:r w:rsidRPr="004C03FE">
        <w:rPr>
          <w:b/>
          <w:bCs/>
        </w:rPr>
        <w:t>Nutzung</w:t>
      </w:r>
    </w:p>
    <w:p w14:paraId="766A7AA6" w14:textId="2E9597CB" w:rsidR="004C03FE" w:rsidRPr="004C03FE" w:rsidRDefault="004C03FE" w:rsidP="004C03FE">
      <w:r w:rsidRPr="004C03FE">
        <w:t xml:space="preserve">Die Nutzungsdauer von Stahlkonstruktionen ist nahezu unbegrenzt. Je nach Nutzungsanforderungen und Umgebungsbedingungen können während der Nutzung kleinere Instandsetzungen, zum Beispiel neue Anstriche, erforderlich sein oder strukturelle Anpassungen vorgenommen werden. </w:t>
      </w:r>
    </w:p>
    <w:p w14:paraId="6DF0180E" w14:textId="77777777" w:rsidR="004C03FE" w:rsidRPr="004C03FE" w:rsidRDefault="004C03FE" w:rsidP="004C03FE"/>
    <w:p w14:paraId="2ED7C4B4" w14:textId="77777777" w:rsidR="004C03FE" w:rsidRPr="004C03FE" w:rsidRDefault="004C03FE" w:rsidP="004C03FE">
      <w:pPr>
        <w:outlineLvl w:val="1"/>
        <w:rPr>
          <w:b/>
          <w:bCs/>
        </w:rPr>
      </w:pPr>
      <w:r w:rsidRPr="004C03FE">
        <w:rPr>
          <w:b/>
          <w:bCs/>
        </w:rPr>
        <w:t>Demontage</w:t>
      </w:r>
    </w:p>
    <w:p w14:paraId="26A1EB5C" w14:textId="77777777" w:rsidR="004C03FE" w:rsidRPr="004C03FE" w:rsidRDefault="004C03FE" w:rsidP="004C03FE">
      <w:r w:rsidRPr="004C03FE">
        <w:t xml:space="preserve">Gebrauchte Stahlträger können, sofern ein Einsatzbereich gefunden wird, problemlos wiederverwendet werden. Sollte kein neuer Einsatz erfolgen, stellt der gewonnene Stahlschrott einen wertvollen Sekundärrohstoff dar, aus dem wieder neue Stahlprodukte erzeugt werden. </w:t>
      </w:r>
    </w:p>
    <w:p w14:paraId="2CCEE437" w14:textId="77777777" w:rsidR="004C03FE" w:rsidRPr="004C03FE" w:rsidRDefault="004C03FE" w:rsidP="004C03FE"/>
    <w:p w14:paraId="1815E9E0" w14:textId="77777777" w:rsidR="004C03FE" w:rsidRPr="004C03FE" w:rsidRDefault="004C03FE" w:rsidP="004C03FE">
      <w:pPr>
        <w:outlineLvl w:val="0"/>
        <w:rPr>
          <w:b/>
          <w:bCs/>
          <w:sz w:val="28"/>
          <w:szCs w:val="28"/>
        </w:rPr>
      </w:pPr>
      <w:r w:rsidRPr="004C03FE">
        <w:rPr>
          <w:b/>
          <w:bCs/>
          <w:sz w:val="28"/>
          <w:szCs w:val="28"/>
        </w:rPr>
        <w:t>Preisbildung im Stahlbau</w:t>
      </w:r>
    </w:p>
    <w:p w14:paraId="68C349CD" w14:textId="5273A4AA" w:rsidR="00F67F5C" w:rsidRDefault="004C03FE" w:rsidP="004C03FE">
      <w:r w:rsidRPr="004C03FE">
        <w:t xml:space="preserve">Stahl zeichnet sich dadurch aus, dass sowohl der Stahl als auch die zur Herstellung eingesetzten Rohstoffe global gehandelt werden. Insbesondere die steigende Nachfrage in Ländern wie China hat den Markt seit der Jahrtausendwende massiv beeinflusst. Des Weiteren sind die Einsatzmöglichkeiten von Stahl nahezu unbegrenzt: Er ist in fast allen Lebensbereichen </w:t>
      </w:r>
      <w:r w:rsidR="00704837">
        <w:t>anzutreffen</w:t>
      </w:r>
      <w:r w:rsidRPr="004C03FE">
        <w:t xml:space="preserve"> – vom Maschinenbau über das Bauwesen und die Automobilbranche bis zur Kunst. </w:t>
      </w:r>
      <w:r w:rsidR="00F67F5C" w:rsidRPr="004C03FE">
        <w:t>Dies bedeutet im Umkehrschluss aber auch, dass der Stahlpreis nicht nur von der heimischen Baukonjunktur abhängt.</w:t>
      </w:r>
      <w:r w:rsidR="00F67F5C">
        <w:t xml:space="preserve"> Stahlpreis-Entwicklungen </w:t>
      </w:r>
      <w:r w:rsidRPr="004C03FE">
        <w:t xml:space="preserve">wirken </w:t>
      </w:r>
      <w:r w:rsidR="00F67F5C" w:rsidRPr="004C03FE">
        <w:t xml:space="preserve">dadurch </w:t>
      </w:r>
      <w:r w:rsidRPr="004C03FE">
        <w:t>auf Außenstehende</w:t>
      </w:r>
      <w:r w:rsidR="00F67F5C">
        <w:t>, die sich nicht regelmäßig mit der globalen Konjunktur befassen,</w:t>
      </w:r>
      <w:r w:rsidRPr="004C03FE">
        <w:t xml:space="preserve"> oftmals willkürlich und </w:t>
      </w:r>
      <w:r w:rsidR="00F67F5C">
        <w:t>unvorhersehbar</w:t>
      </w:r>
      <w:r w:rsidRPr="004C03FE">
        <w:t>.</w:t>
      </w:r>
      <w:r w:rsidR="00F67F5C">
        <w:t xml:space="preserve"> Dies wirkt sich auch negativ auf das Image des Stahlbaus aus.</w:t>
      </w:r>
    </w:p>
    <w:p w14:paraId="58DD6095" w14:textId="77777777" w:rsidR="00F67F5C" w:rsidRDefault="00F67F5C" w:rsidP="004C03FE"/>
    <w:p w14:paraId="4F2CC16E" w14:textId="38E856B4" w:rsidR="004C03FE" w:rsidRPr="004C03FE" w:rsidRDefault="00F67F5C" w:rsidP="004C03FE">
      <w:r w:rsidRPr="00C75DC4">
        <w:t xml:space="preserve">Bei der Bewertung der Preisentwicklungen wird jedoch oftmals übersehen, dass der Preis für die fertige Stahlkonstruktion nicht nur durch das reine Material bestimmt wird. </w:t>
      </w:r>
      <w:r w:rsidR="00CE52CD" w:rsidRPr="00C75DC4">
        <w:t xml:space="preserve">Wie aus </w:t>
      </w:r>
      <w:r w:rsidR="00CE52CD" w:rsidRPr="00C75DC4">
        <w:fldChar w:fldCharType="begin"/>
      </w:r>
      <w:r w:rsidR="00CE52CD" w:rsidRPr="00C75DC4">
        <w:instrText xml:space="preserve"> REF _Ref64699256 \h </w:instrText>
      </w:r>
      <w:r w:rsidR="00C75DC4">
        <w:instrText xml:space="preserve"> \* MERGEFORMAT </w:instrText>
      </w:r>
      <w:r w:rsidR="00CE52CD" w:rsidRPr="00C75DC4">
        <w:fldChar w:fldCharType="separate"/>
      </w:r>
      <w:r w:rsidR="00B4039A" w:rsidRPr="00C75DC4">
        <w:t>Tabelle 1</w:t>
      </w:r>
      <w:r w:rsidR="00CE52CD" w:rsidRPr="00C75DC4">
        <w:fldChar w:fldCharType="end"/>
      </w:r>
      <w:r w:rsidR="00CE52CD" w:rsidRPr="004C03FE">
        <w:t xml:space="preserve"> hervorgeht, macht das Material je nach Komplexität der Konstruktion und Anforderungen an den Brand- und Korrosionsschutz nur ca. 27-36 % der Kosten aus. </w:t>
      </w:r>
      <w:r w:rsidR="00CE52CD">
        <w:t>Etwa</w:t>
      </w:r>
      <w:r>
        <w:t xml:space="preserve"> zwei Drittel des Stahlbau-Preises </w:t>
      </w:r>
      <w:r w:rsidR="00CE52CD">
        <w:t xml:space="preserve">sind damit </w:t>
      </w:r>
      <w:r>
        <w:t xml:space="preserve">unabhängig von den </w:t>
      </w:r>
      <w:r w:rsidR="00EA37A0">
        <w:t>Stahlpreisen</w:t>
      </w:r>
      <w:r w:rsidR="004C03FE" w:rsidRPr="004C03FE">
        <w:t>.</w:t>
      </w:r>
    </w:p>
    <w:p w14:paraId="032EB2DB" w14:textId="1C765431" w:rsidR="004C03FE" w:rsidRPr="004C03FE" w:rsidRDefault="004C03FE" w:rsidP="004C03FE">
      <w:pPr>
        <w:keepNext/>
        <w:rPr>
          <w:i/>
          <w:iCs/>
          <w:sz w:val="18"/>
          <w:szCs w:val="18"/>
        </w:rPr>
      </w:pPr>
      <w:bookmarkStart w:id="0" w:name="_Ref64699256"/>
      <w:r w:rsidRPr="004C03FE">
        <w:rPr>
          <w:i/>
          <w:iCs/>
          <w:sz w:val="18"/>
          <w:szCs w:val="18"/>
        </w:rPr>
        <w:t xml:space="preserve">Tabelle </w:t>
      </w:r>
      <w:r w:rsidRPr="004C03FE">
        <w:rPr>
          <w:i/>
          <w:iCs/>
          <w:sz w:val="18"/>
          <w:szCs w:val="18"/>
        </w:rPr>
        <w:fldChar w:fldCharType="begin"/>
      </w:r>
      <w:r w:rsidRPr="004C03FE">
        <w:rPr>
          <w:i/>
          <w:iCs/>
          <w:sz w:val="18"/>
          <w:szCs w:val="18"/>
        </w:rPr>
        <w:instrText xml:space="preserve"> SEQ Tabelle \* ARABIC </w:instrText>
      </w:r>
      <w:r w:rsidRPr="004C03FE">
        <w:rPr>
          <w:i/>
          <w:iCs/>
          <w:sz w:val="18"/>
          <w:szCs w:val="18"/>
        </w:rPr>
        <w:fldChar w:fldCharType="separate"/>
      </w:r>
      <w:r w:rsidR="00B4039A">
        <w:rPr>
          <w:i/>
          <w:iCs/>
          <w:noProof/>
          <w:sz w:val="18"/>
          <w:szCs w:val="18"/>
        </w:rPr>
        <w:t>1</w:t>
      </w:r>
      <w:r w:rsidRPr="004C03FE">
        <w:rPr>
          <w:i/>
          <w:iCs/>
          <w:noProof/>
          <w:sz w:val="18"/>
          <w:szCs w:val="18"/>
        </w:rPr>
        <w:fldChar w:fldCharType="end"/>
      </w:r>
      <w:bookmarkEnd w:id="0"/>
      <w:r w:rsidRPr="004C03FE">
        <w:rPr>
          <w:i/>
          <w:iCs/>
          <w:sz w:val="18"/>
          <w:szCs w:val="18"/>
        </w:rPr>
        <w:t>: Richtwerte für die Verteilung der Gesamtkosten im Stahlbau</w:t>
      </w:r>
      <w:r w:rsidRPr="004C03FE">
        <w:rPr>
          <w:i/>
          <w:iCs/>
          <w:noProof/>
          <w:sz w:val="18"/>
          <w:szCs w:val="18"/>
        </w:rPr>
        <w:t xml:space="preserve"> (Datenquelle: bauforumstahl e.V.)</w:t>
      </w:r>
    </w:p>
    <w:tbl>
      <w:tblPr>
        <w:tblStyle w:val="Tabellenraster1"/>
        <w:tblW w:w="0" w:type="auto"/>
        <w:tblLook w:val="04A0" w:firstRow="1" w:lastRow="0" w:firstColumn="1" w:lastColumn="0" w:noHBand="0" w:noVBand="1"/>
      </w:tblPr>
      <w:tblGrid>
        <w:gridCol w:w="6516"/>
        <w:gridCol w:w="2546"/>
      </w:tblGrid>
      <w:tr w:rsidR="004C03FE" w:rsidRPr="006C0229" w14:paraId="06D2370C" w14:textId="77777777" w:rsidTr="007C23CA">
        <w:tc>
          <w:tcPr>
            <w:tcW w:w="6516" w:type="dxa"/>
          </w:tcPr>
          <w:p w14:paraId="31902BBE" w14:textId="77777777" w:rsidR="004C03FE" w:rsidRPr="006C0229" w:rsidRDefault="004C03FE" w:rsidP="004C03FE">
            <w:pPr>
              <w:rPr>
                <w:sz w:val="20"/>
                <w:szCs w:val="20"/>
              </w:rPr>
            </w:pPr>
          </w:p>
        </w:tc>
        <w:tc>
          <w:tcPr>
            <w:tcW w:w="2546" w:type="dxa"/>
          </w:tcPr>
          <w:p w14:paraId="02EADAA2" w14:textId="77777777" w:rsidR="004C03FE" w:rsidRPr="006C0229" w:rsidRDefault="004C03FE" w:rsidP="004C03FE">
            <w:pPr>
              <w:jc w:val="center"/>
              <w:rPr>
                <w:sz w:val="20"/>
                <w:szCs w:val="20"/>
              </w:rPr>
            </w:pPr>
            <w:r w:rsidRPr="006C0229">
              <w:rPr>
                <w:sz w:val="20"/>
                <w:szCs w:val="20"/>
              </w:rPr>
              <w:t>Anteil an Gesamtkosten</w:t>
            </w:r>
          </w:p>
        </w:tc>
      </w:tr>
      <w:tr w:rsidR="004C03FE" w:rsidRPr="006C0229" w14:paraId="7F38A285" w14:textId="77777777" w:rsidTr="007C23CA">
        <w:tc>
          <w:tcPr>
            <w:tcW w:w="6516" w:type="dxa"/>
          </w:tcPr>
          <w:p w14:paraId="499671B2" w14:textId="77777777" w:rsidR="004C03FE" w:rsidRPr="006C0229" w:rsidRDefault="004C03FE" w:rsidP="004C03FE">
            <w:pPr>
              <w:rPr>
                <w:sz w:val="20"/>
                <w:szCs w:val="20"/>
              </w:rPr>
            </w:pPr>
            <w:r w:rsidRPr="006C0229">
              <w:rPr>
                <w:sz w:val="20"/>
                <w:szCs w:val="20"/>
              </w:rPr>
              <w:t>Material</w:t>
            </w:r>
          </w:p>
        </w:tc>
        <w:tc>
          <w:tcPr>
            <w:tcW w:w="2546" w:type="dxa"/>
          </w:tcPr>
          <w:p w14:paraId="2B949C30" w14:textId="77777777" w:rsidR="004C03FE" w:rsidRPr="006C0229" w:rsidRDefault="004C03FE" w:rsidP="004C03FE">
            <w:pPr>
              <w:jc w:val="center"/>
              <w:rPr>
                <w:sz w:val="20"/>
                <w:szCs w:val="20"/>
              </w:rPr>
            </w:pPr>
            <w:r w:rsidRPr="006C0229">
              <w:rPr>
                <w:sz w:val="20"/>
                <w:szCs w:val="20"/>
              </w:rPr>
              <w:t>27-36 %</w:t>
            </w:r>
          </w:p>
        </w:tc>
      </w:tr>
      <w:tr w:rsidR="004C03FE" w:rsidRPr="006C0229" w14:paraId="736D5FB0" w14:textId="77777777" w:rsidTr="007C23CA">
        <w:tc>
          <w:tcPr>
            <w:tcW w:w="6516" w:type="dxa"/>
          </w:tcPr>
          <w:p w14:paraId="3ABFB44A" w14:textId="77777777" w:rsidR="004C03FE" w:rsidRPr="006C0229" w:rsidRDefault="004C03FE" w:rsidP="004C03FE">
            <w:pPr>
              <w:rPr>
                <w:sz w:val="20"/>
                <w:szCs w:val="20"/>
              </w:rPr>
            </w:pPr>
            <w:r w:rsidRPr="006C0229">
              <w:rPr>
                <w:sz w:val="20"/>
                <w:szCs w:val="20"/>
              </w:rPr>
              <w:t xml:space="preserve">Technische Bearbeitung &amp; Fertigung </w:t>
            </w:r>
          </w:p>
        </w:tc>
        <w:tc>
          <w:tcPr>
            <w:tcW w:w="2546" w:type="dxa"/>
          </w:tcPr>
          <w:p w14:paraId="67744AFB" w14:textId="77777777" w:rsidR="004C03FE" w:rsidRPr="006C0229" w:rsidRDefault="004C03FE" w:rsidP="004C03FE">
            <w:pPr>
              <w:jc w:val="center"/>
              <w:rPr>
                <w:sz w:val="20"/>
                <w:szCs w:val="20"/>
              </w:rPr>
            </w:pPr>
            <w:r w:rsidRPr="006C0229">
              <w:rPr>
                <w:sz w:val="20"/>
                <w:szCs w:val="20"/>
              </w:rPr>
              <w:t>30-41 %</w:t>
            </w:r>
          </w:p>
        </w:tc>
      </w:tr>
      <w:tr w:rsidR="004C03FE" w:rsidRPr="006C0229" w14:paraId="52596AA2" w14:textId="77777777" w:rsidTr="007C23CA">
        <w:tc>
          <w:tcPr>
            <w:tcW w:w="6516" w:type="dxa"/>
          </w:tcPr>
          <w:p w14:paraId="45FCE157" w14:textId="77777777" w:rsidR="004C03FE" w:rsidRPr="006C0229" w:rsidRDefault="004C03FE" w:rsidP="004C03FE">
            <w:pPr>
              <w:rPr>
                <w:sz w:val="20"/>
                <w:szCs w:val="20"/>
              </w:rPr>
            </w:pPr>
            <w:r w:rsidRPr="006C0229">
              <w:rPr>
                <w:sz w:val="20"/>
                <w:szCs w:val="20"/>
              </w:rPr>
              <w:t>Korrosionsschutz</w:t>
            </w:r>
          </w:p>
        </w:tc>
        <w:tc>
          <w:tcPr>
            <w:tcW w:w="2546" w:type="dxa"/>
          </w:tcPr>
          <w:p w14:paraId="115DB0EF" w14:textId="77777777" w:rsidR="004C03FE" w:rsidRPr="006C0229" w:rsidRDefault="004C03FE" w:rsidP="004C03FE">
            <w:pPr>
              <w:jc w:val="center"/>
              <w:rPr>
                <w:sz w:val="20"/>
                <w:szCs w:val="20"/>
              </w:rPr>
            </w:pPr>
            <w:r w:rsidRPr="006C0229">
              <w:rPr>
                <w:sz w:val="20"/>
                <w:szCs w:val="20"/>
              </w:rPr>
              <w:t>0-10 %</w:t>
            </w:r>
          </w:p>
        </w:tc>
      </w:tr>
      <w:tr w:rsidR="004C03FE" w:rsidRPr="006C0229" w14:paraId="22CB3EF3" w14:textId="77777777" w:rsidTr="007C23CA">
        <w:tc>
          <w:tcPr>
            <w:tcW w:w="6516" w:type="dxa"/>
          </w:tcPr>
          <w:p w14:paraId="4B5CB054" w14:textId="77777777" w:rsidR="004C03FE" w:rsidRPr="006C0229" w:rsidRDefault="004C03FE" w:rsidP="004C03FE">
            <w:pPr>
              <w:rPr>
                <w:sz w:val="20"/>
                <w:szCs w:val="20"/>
              </w:rPr>
            </w:pPr>
            <w:r w:rsidRPr="006C0229">
              <w:rPr>
                <w:sz w:val="20"/>
                <w:szCs w:val="20"/>
              </w:rPr>
              <w:t>Brandschutz</w:t>
            </w:r>
          </w:p>
        </w:tc>
        <w:tc>
          <w:tcPr>
            <w:tcW w:w="2546" w:type="dxa"/>
          </w:tcPr>
          <w:p w14:paraId="3DE55A70" w14:textId="77777777" w:rsidR="004C03FE" w:rsidRPr="006C0229" w:rsidRDefault="004C03FE" w:rsidP="004C03FE">
            <w:pPr>
              <w:jc w:val="center"/>
              <w:rPr>
                <w:sz w:val="20"/>
                <w:szCs w:val="20"/>
              </w:rPr>
            </w:pPr>
            <w:r w:rsidRPr="006C0229">
              <w:rPr>
                <w:sz w:val="20"/>
                <w:szCs w:val="20"/>
              </w:rPr>
              <w:t>0-17 %</w:t>
            </w:r>
          </w:p>
        </w:tc>
      </w:tr>
      <w:tr w:rsidR="004C03FE" w:rsidRPr="006C0229" w14:paraId="279A1FD8" w14:textId="77777777" w:rsidTr="007C23CA">
        <w:tc>
          <w:tcPr>
            <w:tcW w:w="6516" w:type="dxa"/>
          </w:tcPr>
          <w:p w14:paraId="6A3AB5F5" w14:textId="77777777" w:rsidR="004C03FE" w:rsidRPr="006C0229" w:rsidRDefault="004C03FE" w:rsidP="004C03FE">
            <w:pPr>
              <w:rPr>
                <w:sz w:val="20"/>
                <w:szCs w:val="20"/>
              </w:rPr>
            </w:pPr>
            <w:r w:rsidRPr="006C0229">
              <w:rPr>
                <w:sz w:val="20"/>
                <w:szCs w:val="20"/>
              </w:rPr>
              <w:t>Lieferung/Montage</w:t>
            </w:r>
          </w:p>
        </w:tc>
        <w:tc>
          <w:tcPr>
            <w:tcW w:w="2546" w:type="dxa"/>
          </w:tcPr>
          <w:p w14:paraId="6963755B" w14:textId="77777777" w:rsidR="004C03FE" w:rsidRPr="006C0229" w:rsidRDefault="004C03FE" w:rsidP="004C03FE">
            <w:pPr>
              <w:jc w:val="center"/>
              <w:rPr>
                <w:sz w:val="20"/>
                <w:szCs w:val="20"/>
              </w:rPr>
            </w:pPr>
            <w:r w:rsidRPr="006C0229">
              <w:rPr>
                <w:sz w:val="20"/>
                <w:szCs w:val="20"/>
              </w:rPr>
              <w:t>18-23 %</w:t>
            </w:r>
          </w:p>
        </w:tc>
      </w:tr>
    </w:tbl>
    <w:p w14:paraId="5EC457A4" w14:textId="77777777" w:rsidR="004C03FE" w:rsidRPr="004C03FE" w:rsidRDefault="004C03FE" w:rsidP="004C03FE"/>
    <w:p w14:paraId="64913BA0" w14:textId="77777777" w:rsidR="004C03FE" w:rsidRPr="004C03FE" w:rsidRDefault="004C03FE" w:rsidP="004C03FE">
      <w:pPr>
        <w:outlineLvl w:val="0"/>
        <w:rPr>
          <w:b/>
          <w:bCs/>
          <w:sz w:val="28"/>
          <w:szCs w:val="28"/>
        </w:rPr>
      </w:pPr>
      <w:r w:rsidRPr="004C03FE">
        <w:rPr>
          <w:b/>
          <w:bCs/>
          <w:sz w:val="28"/>
          <w:szCs w:val="28"/>
        </w:rPr>
        <w:t>Preisentwicklungen</w:t>
      </w:r>
    </w:p>
    <w:p w14:paraId="32A94F8E" w14:textId="3726F504" w:rsidR="004C03FE" w:rsidRPr="004C03FE" w:rsidRDefault="004C03FE" w:rsidP="004C03FE">
      <w:r w:rsidRPr="004C03FE">
        <w:t xml:space="preserve">Im Folgenden werden relevante Preisentwicklungen dargestellt. Die Angaben </w:t>
      </w:r>
      <w:r w:rsidR="00F62B25">
        <w:t>entstammen Veröffentlichungen und Datenbanken</w:t>
      </w:r>
      <w:r w:rsidRPr="004C03FE">
        <w:t xml:space="preserve"> des Statistischen Bundesamtes. Sie basieren auf dem Preisindex 2015, d. h. alle Prozentzahlen beziehen sich auf den Durchschnittspreis dieses Jahres (2015 = 100 %). Sofern verfügbar, wurden die Werte ab 2000 dargestellt, einige Preisindizes lagen jedoch erst für spätere Startjahre vor. Sofern </w:t>
      </w:r>
      <w:r w:rsidR="005D4367">
        <w:t xml:space="preserve">Daten für verschiedene </w:t>
      </w:r>
      <w:r w:rsidR="009B5445">
        <w:t>Bauwerksarten</w:t>
      </w:r>
      <w:r w:rsidR="005D4367">
        <w:t xml:space="preserve"> vorlagen</w:t>
      </w:r>
      <w:r w:rsidRPr="004C03FE">
        <w:t xml:space="preserve">, wurden die Kennzahlen für den Hochbau (gewerbliche Betriebsgebäude) ausgewählt. </w:t>
      </w:r>
    </w:p>
    <w:p w14:paraId="245DB9AD" w14:textId="77777777" w:rsidR="004C03FE" w:rsidRPr="004C03FE" w:rsidRDefault="004C03FE" w:rsidP="004C03FE"/>
    <w:p w14:paraId="3AA8F971" w14:textId="77777777" w:rsidR="004C03FE" w:rsidRPr="004C03FE" w:rsidRDefault="004C03FE" w:rsidP="004C03FE">
      <w:pPr>
        <w:outlineLvl w:val="1"/>
        <w:rPr>
          <w:b/>
          <w:bCs/>
        </w:rPr>
      </w:pPr>
      <w:r w:rsidRPr="004C03FE">
        <w:rPr>
          <w:b/>
          <w:bCs/>
        </w:rPr>
        <w:t>Rohstoffe</w:t>
      </w:r>
    </w:p>
    <w:p w14:paraId="7F76247C" w14:textId="3A5808BA" w:rsidR="004C03FE" w:rsidRPr="004C03FE" w:rsidRDefault="004C03FE" w:rsidP="004C03FE">
      <w:r w:rsidRPr="004C03FE">
        <w:fldChar w:fldCharType="begin"/>
      </w:r>
      <w:r w:rsidRPr="004C03FE">
        <w:instrText xml:space="preserve"> REF _Ref64835123 \h </w:instrText>
      </w:r>
      <w:r w:rsidR="00B76C29">
        <w:instrText xml:space="preserve"> \* MERGEFORMAT </w:instrText>
      </w:r>
      <w:r w:rsidRPr="004C03FE">
        <w:fldChar w:fldCharType="separate"/>
      </w:r>
      <w:r w:rsidR="00B4039A" w:rsidRPr="00B4039A">
        <w:t>Abbildung 2</w:t>
      </w:r>
      <w:r w:rsidRPr="004C03FE">
        <w:fldChar w:fldCharType="end"/>
      </w:r>
      <w:r w:rsidRPr="004C03FE">
        <w:t xml:space="preserve"> zeigt die Entwicklung der wichtigsten Roh- und Brennstoffpreise für die Herstellung von Stahl. Das Diagramm zeigt, dass es seit der Jahrtausendwende immer wieder kurz- und mittelfristige Anstiege der Rohstoffpreise gab. Dies betraf insbesondere Koks, Eisenerz und Schrott, während der für das Elektrostahlverfahren benötigte Strompreis einen nahezu linearen Anstieg zeigt. Der Preis für Erdgas, das bei der Hochofenroute als Ersatz für Kohle bzw. Koks zum Einsatz kommt, bewegte sich teilweise antizyklisch. Dies lässt vermuten, dass steigende Kokspreise bereits auf Herstellerebene ausgeglichen werden konnten. </w:t>
      </w:r>
    </w:p>
    <w:p w14:paraId="7262B157" w14:textId="77777777" w:rsidR="004C03FE" w:rsidRPr="004C03FE" w:rsidRDefault="004C03FE" w:rsidP="004C03FE">
      <w:pPr>
        <w:keepNext/>
        <w:rPr>
          <w:noProof/>
        </w:rPr>
      </w:pPr>
    </w:p>
    <w:p w14:paraId="4E25D142" w14:textId="4FF2C499" w:rsidR="00AA6B44" w:rsidRPr="004C03FE" w:rsidRDefault="00AA6B44" w:rsidP="004C03FE">
      <w:pPr>
        <w:keepNext/>
        <w:rPr>
          <w:noProof/>
        </w:rPr>
      </w:pPr>
      <w:r>
        <w:rPr>
          <w:noProof/>
        </w:rPr>
        <w:drawing>
          <wp:inline distT="0" distB="0" distL="0" distR="0" wp14:anchorId="6BEC88A2" wp14:editId="402EC58B">
            <wp:extent cx="5773419" cy="2531764"/>
            <wp:effectExtent l="0" t="0" r="0"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73419" cy="2531764"/>
                    </a:xfrm>
                    <a:prstGeom prst="rect">
                      <a:avLst/>
                    </a:prstGeom>
                    <a:noFill/>
                  </pic:spPr>
                </pic:pic>
              </a:graphicData>
            </a:graphic>
          </wp:inline>
        </w:drawing>
      </w:r>
    </w:p>
    <w:p w14:paraId="08B73C44" w14:textId="76AF9678" w:rsidR="004C03FE" w:rsidRPr="00570887" w:rsidRDefault="004C03FE" w:rsidP="004C03FE">
      <w:pPr>
        <w:rPr>
          <w:i/>
          <w:iCs/>
          <w:sz w:val="18"/>
          <w:szCs w:val="18"/>
        </w:rPr>
      </w:pPr>
      <w:bookmarkStart w:id="1" w:name="_Ref64835123"/>
      <w:r w:rsidRPr="00570887">
        <w:rPr>
          <w:i/>
          <w:iCs/>
          <w:sz w:val="18"/>
          <w:szCs w:val="18"/>
        </w:rPr>
        <w:t xml:space="preserve">Abbildung </w:t>
      </w:r>
      <w:r w:rsidRPr="00570887">
        <w:rPr>
          <w:i/>
          <w:iCs/>
          <w:sz w:val="18"/>
          <w:szCs w:val="18"/>
        </w:rPr>
        <w:fldChar w:fldCharType="begin"/>
      </w:r>
      <w:r w:rsidRPr="00570887">
        <w:rPr>
          <w:i/>
          <w:iCs/>
          <w:sz w:val="18"/>
          <w:szCs w:val="18"/>
        </w:rPr>
        <w:instrText xml:space="preserve"> SEQ Abbildung \* ARABIC </w:instrText>
      </w:r>
      <w:r w:rsidRPr="00570887">
        <w:rPr>
          <w:i/>
          <w:iCs/>
          <w:sz w:val="18"/>
          <w:szCs w:val="18"/>
        </w:rPr>
        <w:fldChar w:fldCharType="separate"/>
      </w:r>
      <w:r w:rsidR="00B4039A" w:rsidRPr="00570887">
        <w:rPr>
          <w:i/>
          <w:iCs/>
          <w:noProof/>
          <w:sz w:val="18"/>
          <w:szCs w:val="18"/>
        </w:rPr>
        <w:t>2</w:t>
      </w:r>
      <w:r w:rsidRPr="00570887">
        <w:rPr>
          <w:i/>
          <w:iCs/>
          <w:noProof/>
          <w:sz w:val="18"/>
          <w:szCs w:val="18"/>
        </w:rPr>
        <w:fldChar w:fldCharType="end"/>
      </w:r>
      <w:bookmarkEnd w:id="1"/>
      <w:r w:rsidRPr="00570887">
        <w:rPr>
          <w:i/>
          <w:iCs/>
          <w:sz w:val="18"/>
          <w:szCs w:val="18"/>
        </w:rPr>
        <w:t xml:space="preserve">: Entwicklung Rohstoffpreise (Datenquelle: </w:t>
      </w:r>
      <w:r w:rsidR="00F62B25" w:rsidRPr="00570887">
        <w:rPr>
          <w:i/>
          <w:iCs/>
          <w:sz w:val="18"/>
          <w:szCs w:val="18"/>
        </w:rPr>
        <w:t>GENESIS</w:t>
      </w:r>
      <w:r w:rsidRPr="00570887">
        <w:rPr>
          <w:i/>
          <w:iCs/>
          <w:sz w:val="18"/>
          <w:szCs w:val="18"/>
        </w:rPr>
        <w:t xml:space="preserve">) </w:t>
      </w:r>
    </w:p>
    <w:p w14:paraId="788FA982" w14:textId="77777777" w:rsidR="004C03FE" w:rsidRPr="004C03FE" w:rsidRDefault="004C03FE" w:rsidP="004C03FE"/>
    <w:p w14:paraId="4551B2A7" w14:textId="77777777" w:rsidR="00CF2FE9" w:rsidRDefault="00CF2FE9">
      <w:pPr>
        <w:spacing w:after="160" w:line="259" w:lineRule="auto"/>
        <w:jc w:val="left"/>
        <w:rPr>
          <w:b/>
          <w:bCs/>
        </w:rPr>
      </w:pPr>
      <w:r>
        <w:rPr>
          <w:b/>
          <w:bCs/>
        </w:rPr>
        <w:br w:type="page"/>
      </w:r>
    </w:p>
    <w:p w14:paraId="3A66D1E5" w14:textId="29BCA6A4" w:rsidR="004C03FE" w:rsidRPr="004C03FE" w:rsidRDefault="004C03FE" w:rsidP="004C03FE">
      <w:pPr>
        <w:keepNext/>
        <w:outlineLvl w:val="1"/>
        <w:rPr>
          <w:b/>
          <w:bCs/>
        </w:rPr>
      </w:pPr>
      <w:r w:rsidRPr="004C03FE">
        <w:rPr>
          <w:b/>
          <w:bCs/>
        </w:rPr>
        <w:t>Stahlprodukte</w:t>
      </w:r>
    </w:p>
    <w:p w14:paraId="158F06CD" w14:textId="4B9A2C60" w:rsidR="004C03FE" w:rsidRPr="004C03FE" w:rsidRDefault="004C03FE" w:rsidP="004C03FE">
      <w:r w:rsidRPr="004C03FE">
        <w:t>Die Darstellung der Entwicklung einzelner Baustahl-Preise (</w:t>
      </w:r>
      <w:r w:rsidRPr="004C03FE">
        <w:fldChar w:fldCharType="begin"/>
      </w:r>
      <w:r w:rsidRPr="004C03FE">
        <w:instrText xml:space="preserve"> REF _Ref64874041 \h </w:instrText>
      </w:r>
      <w:r w:rsidR="00B76C29">
        <w:instrText xml:space="preserve"> \* MERGEFORMAT </w:instrText>
      </w:r>
      <w:r w:rsidRPr="004C03FE">
        <w:fldChar w:fldCharType="separate"/>
      </w:r>
      <w:r w:rsidR="00B4039A" w:rsidRPr="00B4039A">
        <w:t>Abbildung 3</w:t>
      </w:r>
      <w:r w:rsidRPr="004C03FE">
        <w:fldChar w:fldCharType="end"/>
      </w:r>
      <w:r w:rsidRPr="004C03FE">
        <w:t xml:space="preserve">) zeigt bereits eine Abschwächung der Preissprünge: </w:t>
      </w:r>
      <w:r w:rsidR="00967069">
        <w:t>I</w:t>
      </w:r>
      <w:r w:rsidRPr="004C03FE">
        <w:t>n den ersten zehn Jahren d</w:t>
      </w:r>
      <w:r w:rsidR="00967069">
        <w:t>ies</w:t>
      </w:r>
      <w:r w:rsidRPr="004C03FE">
        <w:t>es Jahr</w:t>
      </w:r>
      <w:r w:rsidR="00967069">
        <w:t>tausends</w:t>
      </w:r>
      <w:r w:rsidRPr="004C03FE">
        <w:t xml:space="preserve"> </w:t>
      </w:r>
      <w:r w:rsidR="00967069">
        <w:t xml:space="preserve">schwankten die Preise noch. Seit 2010 </w:t>
      </w:r>
      <w:r w:rsidRPr="004C03FE">
        <w:t>sind die</w:t>
      </w:r>
      <w:r w:rsidR="00967069">
        <w:t>se</w:t>
      </w:r>
      <w:r w:rsidRPr="004C03FE">
        <w:t xml:space="preserve"> Preisschwankungen </w:t>
      </w:r>
      <w:r w:rsidR="00967069">
        <w:t>deutlich</w:t>
      </w:r>
      <w:r w:rsidRPr="004C03FE">
        <w:t xml:space="preserve"> zurückgegangen.</w:t>
      </w:r>
    </w:p>
    <w:p w14:paraId="2B049A53" w14:textId="77777777" w:rsidR="004C03FE" w:rsidRPr="004C03FE" w:rsidRDefault="004C03FE" w:rsidP="004C03FE"/>
    <w:p w14:paraId="44C6E51F" w14:textId="77777777" w:rsidR="004C03FE" w:rsidRPr="004C03FE" w:rsidRDefault="004C03FE" w:rsidP="004C03FE">
      <w:pPr>
        <w:keepNext/>
      </w:pPr>
      <w:r w:rsidRPr="004C03FE">
        <w:rPr>
          <w:noProof/>
        </w:rPr>
        <w:drawing>
          <wp:inline distT="0" distB="0" distL="0" distR="0" wp14:anchorId="40957149" wp14:editId="4C2A3A2A">
            <wp:extent cx="5757447" cy="2524759"/>
            <wp:effectExtent l="0" t="0" r="0" b="9525"/>
            <wp:docPr id="1" name="Grafik 1">
              <a:extLst xmlns:a="http://schemas.openxmlformats.org/drawingml/2006/main">
                <a:ext uri="{FF2B5EF4-FFF2-40B4-BE49-F238E27FC236}">
                  <a16:creationId xmlns:a16="http://schemas.microsoft.com/office/drawing/2014/main" id="{0DBE8DD5-712D-4CFF-B353-8D710E417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extLst>
                        <a:ext uri="{FF2B5EF4-FFF2-40B4-BE49-F238E27FC236}">
                          <a16:creationId xmlns:a16="http://schemas.microsoft.com/office/drawing/2014/main" id="{0DBE8DD5-712D-4CFF-B353-8D710E417525}"/>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7447" cy="2524759"/>
                    </a:xfrm>
                    <a:prstGeom prst="rect">
                      <a:avLst/>
                    </a:prstGeom>
                  </pic:spPr>
                </pic:pic>
              </a:graphicData>
            </a:graphic>
          </wp:inline>
        </w:drawing>
      </w:r>
    </w:p>
    <w:p w14:paraId="1D50A65D" w14:textId="736BB43D" w:rsidR="004C03FE" w:rsidRPr="004C03FE" w:rsidRDefault="004C03FE" w:rsidP="004C03FE">
      <w:pPr>
        <w:rPr>
          <w:i/>
          <w:iCs/>
          <w:sz w:val="18"/>
          <w:szCs w:val="18"/>
        </w:rPr>
      </w:pPr>
      <w:bookmarkStart w:id="2" w:name="_Ref64874041"/>
      <w:r w:rsidRPr="004C03FE">
        <w:rPr>
          <w:i/>
          <w:iCs/>
          <w:sz w:val="18"/>
          <w:szCs w:val="18"/>
        </w:rPr>
        <w:t xml:space="preserve">Abbildung </w:t>
      </w:r>
      <w:r w:rsidRPr="004C03FE">
        <w:rPr>
          <w:i/>
          <w:iCs/>
          <w:sz w:val="18"/>
          <w:szCs w:val="18"/>
        </w:rPr>
        <w:fldChar w:fldCharType="begin"/>
      </w:r>
      <w:r w:rsidRPr="004C03FE">
        <w:rPr>
          <w:i/>
          <w:iCs/>
          <w:sz w:val="18"/>
          <w:szCs w:val="18"/>
        </w:rPr>
        <w:instrText xml:space="preserve"> SEQ Abbildung \* ARABIC </w:instrText>
      </w:r>
      <w:r w:rsidRPr="004C03FE">
        <w:rPr>
          <w:i/>
          <w:iCs/>
          <w:sz w:val="18"/>
          <w:szCs w:val="18"/>
        </w:rPr>
        <w:fldChar w:fldCharType="separate"/>
      </w:r>
      <w:r w:rsidR="00B4039A">
        <w:rPr>
          <w:i/>
          <w:iCs/>
          <w:noProof/>
          <w:sz w:val="18"/>
          <w:szCs w:val="18"/>
        </w:rPr>
        <w:t>3</w:t>
      </w:r>
      <w:r w:rsidRPr="004C03FE">
        <w:rPr>
          <w:i/>
          <w:iCs/>
          <w:noProof/>
          <w:sz w:val="18"/>
          <w:szCs w:val="18"/>
        </w:rPr>
        <w:fldChar w:fldCharType="end"/>
      </w:r>
      <w:bookmarkEnd w:id="2"/>
      <w:r w:rsidRPr="004C03FE">
        <w:rPr>
          <w:i/>
          <w:iCs/>
          <w:sz w:val="18"/>
          <w:szCs w:val="18"/>
        </w:rPr>
        <w:t xml:space="preserve">: Preisindizes Stahlprofile und Grobblech (Datenquelle: </w:t>
      </w:r>
      <w:r w:rsidR="00F62B25">
        <w:rPr>
          <w:i/>
          <w:iCs/>
          <w:sz w:val="18"/>
          <w:szCs w:val="18"/>
        </w:rPr>
        <w:t>GENESIS</w:t>
      </w:r>
      <w:r w:rsidRPr="004C03FE">
        <w:rPr>
          <w:i/>
          <w:iCs/>
          <w:sz w:val="18"/>
          <w:szCs w:val="18"/>
        </w:rPr>
        <w:t xml:space="preserve">) </w:t>
      </w:r>
    </w:p>
    <w:p w14:paraId="3A0AF7EE" w14:textId="77777777" w:rsidR="004C03FE" w:rsidRPr="004C03FE" w:rsidRDefault="004C03FE" w:rsidP="004C03FE"/>
    <w:p w14:paraId="51D63D80" w14:textId="77777777" w:rsidR="004C03FE" w:rsidRPr="004C03FE" w:rsidRDefault="004C03FE" w:rsidP="004C03FE">
      <w:pPr>
        <w:outlineLvl w:val="1"/>
        <w:rPr>
          <w:b/>
          <w:bCs/>
        </w:rPr>
      </w:pPr>
      <w:r w:rsidRPr="004C03FE">
        <w:rPr>
          <w:b/>
          <w:bCs/>
        </w:rPr>
        <w:t>Fertigung</w:t>
      </w:r>
    </w:p>
    <w:p w14:paraId="230241C0" w14:textId="0C18520F" w:rsidR="004C03FE" w:rsidRPr="004C03FE" w:rsidRDefault="004C03FE" w:rsidP="004C03FE">
      <w:r w:rsidRPr="004C03FE">
        <w:t xml:space="preserve">Während es bei großen Stahlbauern mittlerweile einen hohen Automatisierungsgrad gibt, hängen die Fertigungskosten bei den meisten mittelständischen Unternehmen primär von den Personalkosten ab. Für diese liegen dem Statistischen Bundesamt keine spezifischen Kostenkennwerte für Stahlbau-Unternehmen vor. Der in </w:t>
      </w:r>
      <w:r w:rsidRPr="004C03FE">
        <w:fldChar w:fldCharType="begin"/>
      </w:r>
      <w:r w:rsidRPr="004C03FE">
        <w:instrText xml:space="preserve"> REF _Ref64835327 \h </w:instrText>
      </w:r>
      <w:r w:rsidR="00B76C29">
        <w:instrText xml:space="preserve"> \* MERGEFORMAT </w:instrText>
      </w:r>
      <w:r w:rsidRPr="004C03FE">
        <w:fldChar w:fldCharType="separate"/>
      </w:r>
      <w:r w:rsidR="00B4039A" w:rsidRPr="00B4039A">
        <w:t>Abbildung 4</w:t>
      </w:r>
      <w:r w:rsidRPr="004C03FE">
        <w:fldChar w:fldCharType="end"/>
      </w:r>
      <w:r w:rsidRPr="004C03FE">
        <w:t xml:space="preserve"> dargestellte Arbeitskostenindex für das Baugewerbe zeigt jedoch, dass es seit 2000, abgesehen von saisonalen Faktoren, einen nahezu linearen Anstieg gab. Dieser entsprach </w:t>
      </w:r>
      <w:r w:rsidR="00FC3D1A">
        <w:t>weitestgehend</w:t>
      </w:r>
      <w:r w:rsidRPr="004C03FE">
        <w:t xml:space="preserve"> der Inflation.</w:t>
      </w:r>
    </w:p>
    <w:p w14:paraId="28A12BF5" w14:textId="77777777" w:rsidR="004C03FE" w:rsidRPr="004C03FE" w:rsidRDefault="004C03FE" w:rsidP="004C03FE"/>
    <w:p w14:paraId="4A201B3D" w14:textId="77777777" w:rsidR="004C03FE" w:rsidRPr="004C03FE" w:rsidRDefault="004C03FE" w:rsidP="004C03FE">
      <w:r w:rsidRPr="004C03FE">
        <w:rPr>
          <w:noProof/>
        </w:rPr>
        <w:drawing>
          <wp:inline distT="0" distB="0" distL="0" distR="0" wp14:anchorId="50E2EB19" wp14:editId="0AB5F587">
            <wp:extent cx="5760717" cy="2527408"/>
            <wp:effectExtent l="0" t="0" r="0" b="6350"/>
            <wp:docPr id="13" name="Grafik 4">
              <a:extLst xmlns:a="http://schemas.openxmlformats.org/drawingml/2006/main">
                <a:ext uri="{FF2B5EF4-FFF2-40B4-BE49-F238E27FC236}">
                  <a16:creationId xmlns:a16="http://schemas.microsoft.com/office/drawing/2014/main" id="{D1E8AD09-B57C-4CE8-99BA-DA593CC121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4">
                      <a:extLst>
                        <a:ext uri="{FF2B5EF4-FFF2-40B4-BE49-F238E27FC236}">
                          <a16:creationId xmlns:a16="http://schemas.microsoft.com/office/drawing/2014/main" id="{D1E8AD09-B57C-4CE8-99BA-DA593CC121AF}"/>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17" cy="2527408"/>
                    </a:xfrm>
                    <a:prstGeom prst="rect">
                      <a:avLst/>
                    </a:prstGeom>
                  </pic:spPr>
                </pic:pic>
              </a:graphicData>
            </a:graphic>
          </wp:inline>
        </w:drawing>
      </w:r>
    </w:p>
    <w:p w14:paraId="4CC1C6B4" w14:textId="24DB4F06" w:rsidR="004C03FE" w:rsidRPr="004C03FE" w:rsidRDefault="004C03FE" w:rsidP="004C03FE">
      <w:pPr>
        <w:rPr>
          <w:i/>
          <w:iCs/>
          <w:sz w:val="18"/>
          <w:szCs w:val="18"/>
        </w:rPr>
      </w:pPr>
      <w:bookmarkStart w:id="3" w:name="_Ref64835327"/>
      <w:r w:rsidRPr="004C03FE">
        <w:rPr>
          <w:i/>
          <w:iCs/>
          <w:sz w:val="18"/>
          <w:szCs w:val="18"/>
        </w:rPr>
        <w:t xml:space="preserve">Abbildung </w:t>
      </w:r>
      <w:r w:rsidRPr="004C03FE">
        <w:rPr>
          <w:i/>
          <w:iCs/>
          <w:sz w:val="18"/>
          <w:szCs w:val="18"/>
        </w:rPr>
        <w:fldChar w:fldCharType="begin"/>
      </w:r>
      <w:r w:rsidRPr="004C03FE">
        <w:rPr>
          <w:i/>
          <w:iCs/>
          <w:sz w:val="18"/>
          <w:szCs w:val="18"/>
        </w:rPr>
        <w:instrText xml:space="preserve"> SEQ Abbildung \* ARABIC </w:instrText>
      </w:r>
      <w:r w:rsidRPr="004C03FE">
        <w:rPr>
          <w:i/>
          <w:iCs/>
          <w:sz w:val="18"/>
          <w:szCs w:val="18"/>
        </w:rPr>
        <w:fldChar w:fldCharType="separate"/>
      </w:r>
      <w:r w:rsidR="00B4039A">
        <w:rPr>
          <w:i/>
          <w:iCs/>
          <w:noProof/>
          <w:sz w:val="18"/>
          <w:szCs w:val="18"/>
        </w:rPr>
        <w:t>4</w:t>
      </w:r>
      <w:r w:rsidRPr="004C03FE">
        <w:rPr>
          <w:i/>
          <w:iCs/>
          <w:noProof/>
          <w:sz w:val="18"/>
          <w:szCs w:val="18"/>
        </w:rPr>
        <w:fldChar w:fldCharType="end"/>
      </w:r>
      <w:bookmarkEnd w:id="3"/>
      <w:r w:rsidRPr="004C03FE">
        <w:rPr>
          <w:i/>
          <w:iCs/>
          <w:sz w:val="18"/>
          <w:szCs w:val="18"/>
        </w:rPr>
        <w:t xml:space="preserve">: Arbeitskostenindex für das Baugewerbe (Datenquelle: </w:t>
      </w:r>
      <w:r w:rsidR="00F62B25">
        <w:rPr>
          <w:i/>
          <w:iCs/>
          <w:sz w:val="18"/>
          <w:szCs w:val="18"/>
        </w:rPr>
        <w:t>GENESIS</w:t>
      </w:r>
      <w:r w:rsidRPr="004C03FE">
        <w:rPr>
          <w:i/>
          <w:iCs/>
          <w:sz w:val="18"/>
          <w:szCs w:val="18"/>
        </w:rPr>
        <w:t xml:space="preserve">) </w:t>
      </w:r>
    </w:p>
    <w:p w14:paraId="40F0D589" w14:textId="77777777" w:rsidR="004C03FE" w:rsidRPr="004C03FE" w:rsidRDefault="004C03FE" w:rsidP="004C03FE"/>
    <w:p w14:paraId="723CC30E" w14:textId="77777777" w:rsidR="004C03FE" w:rsidRPr="004C03FE" w:rsidRDefault="004C03FE" w:rsidP="004C03FE">
      <w:pPr>
        <w:outlineLvl w:val="1"/>
        <w:rPr>
          <w:b/>
          <w:bCs/>
        </w:rPr>
      </w:pPr>
      <w:r w:rsidRPr="004C03FE">
        <w:rPr>
          <w:b/>
          <w:bCs/>
        </w:rPr>
        <w:t>Korrosions- und Brandschutz</w:t>
      </w:r>
    </w:p>
    <w:p w14:paraId="2013EB92" w14:textId="15B7AB1B" w:rsidR="004C03FE" w:rsidRPr="004C03FE" w:rsidRDefault="004C03FE" w:rsidP="004C03FE">
      <w:r w:rsidRPr="004C03FE">
        <w:t xml:space="preserve">Um die Langlebigkeit und Tragfähigkeit des Stahls auch bei außergewöhnlichen Einwirkungen sicherzustellen, können je nach Anwendungsgebiet Korrosions- und Brandschutzmaßnahmen </w:t>
      </w:r>
      <w:r w:rsidR="00791830">
        <w:t xml:space="preserve">in Form </w:t>
      </w:r>
      <w:r w:rsidR="00791830" w:rsidRPr="00357AF9">
        <w:t xml:space="preserve">von </w:t>
      </w:r>
      <w:r w:rsidR="00791830" w:rsidRPr="004C03FE">
        <w:t>Beschichtungen, Bekleidungen oder Feuerverzinken</w:t>
      </w:r>
      <w:r w:rsidR="00791830" w:rsidRPr="00357AF9">
        <w:t xml:space="preserve"> </w:t>
      </w:r>
      <w:r w:rsidRPr="004C03FE">
        <w:t xml:space="preserve">erforderlich sein. </w:t>
      </w:r>
      <w:r w:rsidR="00357AF9" w:rsidRPr="00357AF9">
        <w:fldChar w:fldCharType="begin"/>
      </w:r>
      <w:r w:rsidR="00357AF9" w:rsidRPr="00357AF9">
        <w:instrText xml:space="preserve"> REF _Ref68604401 \h </w:instrText>
      </w:r>
      <w:r w:rsidR="00357AF9">
        <w:instrText xml:space="preserve"> \* MERGEFORMAT </w:instrText>
      </w:r>
      <w:r w:rsidR="00357AF9" w:rsidRPr="00357AF9">
        <w:fldChar w:fldCharType="separate"/>
      </w:r>
      <w:r w:rsidR="00B4039A" w:rsidRPr="00B4039A">
        <w:t>Abbildung 5</w:t>
      </w:r>
      <w:r w:rsidR="00357AF9" w:rsidRPr="00357AF9">
        <w:fldChar w:fldCharType="end"/>
      </w:r>
      <w:r w:rsidR="00357AF9">
        <w:t xml:space="preserve"> stellt die Kostenverläufe dieser Maßnahmen dar.</w:t>
      </w:r>
    </w:p>
    <w:p w14:paraId="374100B4" w14:textId="77777777" w:rsidR="004C03FE" w:rsidRPr="004C03FE" w:rsidRDefault="004C03FE" w:rsidP="004C03FE"/>
    <w:p w14:paraId="53C4C9DD" w14:textId="77777777" w:rsidR="004C03FE" w:rsidRPr="004C03FE" w:rsidRDefault="004C03FE" w:rsidP="004C03FE">
      <w:r w:rsidRPr="004C03FE">
        <w:rPr>
          <w:noProof/>
        </w:rPr>
        <w:drawing>
          <wp:inline distT="0" distB="0" distL="0" distR="0" wp14:anchorId="49509DCA" wp14:editId="2ED7E94B">
            <wp:extent cx="5760718" cy="2524640"/>
            <wp:effectExtent l="0" t="0" r="0" b="9525"/>
            <wp:docPr id="16" name="Grafik 4">
              <a:extLst xmlns:a="http://schemas.openxmlformats.org/drawingml/2006/main">
                <a:ext uri="{FF2B5EF4-FFF2-40B4-BE49-F238E27FC236}">
                  <a16:creationId xmlns:a16="http://schemas.microsoft.com/office/drawing/2014/main" id="{481B2D44-5132-4BEB-BB32-F324B40AAC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4">
                      <a:extLst>
                        <a:ext uri="{FF2B5EF4-FFF2-40B4-BE49-F238E27FC236}">
                          <a16:creationId xmlns:a16="http://schemas.microsoft.com/office/drawing/2014/main" id="{481B2D44-5132-4BEB-BB32-F324B40AACB3}"/>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18" cy="2524640"/>
                    </a:xfrm>
                    <a:prstGeom prst="rect">
                      <a:avLst/>
                    </a:prstGeom>
                  </pic:spPr>
                </pic:pic>
              </a:graphicData>
            </a:graphic>
          </wp:inline>
        </w:drawing>
      </w:r>
    </w:p>
    <w:p w14:paraId="3F810046" w14:textId="34BD1A7F" w:rsidR="004C03FE" w:rsidRPr="004C03FE" w:rsidRDefault="004C03FE" w:rsidP="004C03FE">
      <w:pPr>
        <w:rPr>
          <w:i/>
          <w:iCs/>
          <w:sz w:val="18"/>
          <w:szCs w:val="18"/>
        </w:rPr>
      </w:pPr>
      <w:bookmarkStart w:id="4" w:name="_Ref68604401"/>
      <w:r w:rsidRPr="004C03FE">
        <w:rPr>
          <w:i/>
          <w:iCs/>
          <w:sz w:val="18"/>
          <w:szCs w:val="18"/>
        </w:rPr>
        <w:t xml:space="preserve">Abbildung </w:t>
      </w:r>
      <w:r w:rsidRPr="004C03FE">
        <w:rPr>
          <w:i/>
          <w:iCs/>
          <w:sz w:val="18"/>
          <w:szCs w:val="18"/>
        </w:rPr>
        <w:fldChar w:fldCharType="begin"/>
      </w:r>
      <w:r w:rsidRPr="004C03FE">
        <w:rPr>
          <w:i/>
          <w:iCs/>
          <w:sz w:val="18"/>
          <w:szCs w:val="18"/>
        </w:rPr>
        <w:instrText xml:space="preserve"> SEQ Abbildung \* ARABIC </w:instrText>
      </w:r>
      <w:r w:rsidRPr="004C03FE">
        <w:rPr>
          <w:i/>
          <w:iCs/>
          <w:sz w:val="18"/>
          <w:szCs w:val="18"/>
        </w:rPr>
        <w:fldChar w:fldCharType="separate"/>
      </w:r>
      <w:r w:rsidR="00B4039A">
        <w:rPr>
          <w:i/>
          <w:iCs/>
          <w:noProof/>
          <w:sz w:val="18"/>
          <w:szCs w:val="18"/>
        </w:rPr>
        <w:t>5</w:t>
      </w:r>
      <w:r w:rsidRPr="004C03FE">
        <w:rPr>
          <w:i/>
          <w:iCs/>
          <w:noProof/>
          <w:sz w:val="18"/>
          <w:szCs w:val="18"/>
        </w:rPr>
        <w:fldChar w:fldCharType="end"/>
      </w:r>
      <w:bookmarkEnd w:id="4"/>
      <w:r w:rsidRPr="004C03FE">
        <w:rPr>
          <w:i/>
          <w:iCs/>
          <w:sz w:val="18"/>
          <w:szCs w:val="18"/>
        </w:rPr>
        <w:t xml:space="preserve">: Preisindizes Korrosions- und Brandschutz (Datenquelle: </w:t>
      </w:r>
      <w:r w:rsidR="00F62B25">
        <w:rPr>
          <w:i/>
          <w:iCs/>
          <w:sz w:val="18"/>
          <w:szCs w:val="18"/>
        </w:rPr>
        <w:t>GENESIS</w:t>
      </w:r>
      <w:r w:rsidRPr="004C03FE">
        <w:rPr>
          <w:i/>
          <w:iCs/>
          <w:sz w:val="18"/>
          <w:szCs w:val="18"/>
        </w:rPr>
        <w:t xml:space="preserve">) </w:t>
      </w:r>
    </w:p>
    <w:p w14:paraId="52F440DD" w14:textId="77777777" w:rsidR="004C03FE" w:rsidRPr="004C03FE" w:rsidRDefault="004C03FE" w:rsidP="004C03FE"/>
    <w:p w14:paraId="7F694A67" w14:textId="77777777" w:rsidR="004C03FE" w:rsidRPr="004C03FE" w:rsidRDefault="004C03FE" w:rsidP="004C03FE">
      <w:pPr>
        <w:outlineLvl w:val="1"/>
        <w:rPr>
          <w:b/>
          <w:bCs/>
        </w:rPr>
      </w:pPr>
      <w:r w:rsidRPr="004C03FE">
        <w:rPr>
          <w:b/>
          <w:bCs/>
        </w:rPr>
        <w:t>Baupreise</w:t>
      </w:r>
    </w:p>
    <w:p w14:paraId="08074CD3" w14:textId="57742B17" w:rsidR="008132D8" w:rsidRDefault="008132D8" w:rsidP="008132D8">
      <w:r>
        <w:t xml:space="preserve">Die bisher dargestellten Teilleistungen sind für den Bauherrn bzw. Endkunden nur indirekt von Bedeutung. Ihn interessieren die zu Beginn der Planung zu erwartenden Kostenschätzungen, auf deren Basis er sein Projekt in Auftrag gibt sowie die – damit hoffentlich übereinstimmenden - finalen Baupreise. </w:t>
      </w:r>
    </w:p>
    <w:p w14:paraId="1EA5F490" w14:textId="5FA3FEAB" w:rsidR="008132D8" w:rsidRDefault="008132D8" w:rsidP="008132D8"/>
    <w:p w14:paraId="28DE2B79" w14:textId="7802E48E" w:rsidR="004C03FE" w:rsidRPr="004C03FE" w:rsidRDefault="008132D8" w:rsidP="00FE69B1">
      <w:r>
        <w:fldChar w:fldCharType="begin"/>
      </w:r>
      <w:r>
        <w:instrText xml:space="preserve"> REF _Ref68604835 \h  \* MERGEFORMAT </w:instrText>
      </w:r>
      <w:r>
        <w:fldChar w:fldCharType="separate"/>
      </w:r>
      <w:r w:rsidR="00B4039A" w:rsidRPr="00B4039A">
        <w:t>Abbildung 6</w:t>
      </w:r>
      <w:r>
        <w:fldChar w:fldCharType="end"/>
      </w:r>
      <w:r>
        <w:t xml:space="preserve"> beweist, dass die </w:t>
      </w:r>
      <w:r w:rsidR="004C03FE" w:rsidRPr="004C03FE">
        <w:t>finale</w:t>
      </w:r>
      <w:r>
        <w:t>n</w:t>
      </w:r>
      <w:r w:rsidR="004C03FE" w:rsidRPr="004C03FE">
        <w:t xml:space="preserve"> Baupreise </w:t>
      </w:r>
      <w:r>
        <w:t xml:space="preserve">von den Schwankungen der Rohstoff- und Materialpreise </w:t>
      </w:r>
      <w:r w:rsidR="00FE69B1">
        <w:t xml:space="preserve">nahezu </w:t>
      </w:r>
      <w:r>
        <w:t xml:space="preserve">unberührt bleiben. Dies ist </w:t>
      </w:r>
      <w:r w:rsidR="00992BC2">
        <w:t>zum Teil</w:t>
      </w:r>
      <w:r>
        <w:t xml:space="preserve"> auf den </w:t>
      </w:r>
      <w:r w:rsidR="00FE69B1">
        <w:t xml:space="preserve">verhältnismäßig </w:t>
      </w:r>
      <w:r>
        <w:t>geringen Anteil der Material</w:t>
      </w:r>
      <w:r w:rsidR="00FE69B1">
        <w:t>kosten</w:t>
      </w:r>
      <w:r>
        <w:t xml:space="preserve"> an den Gesamtkosten </w:t>
      </w:r>
      <w:r w:rsidR="00FE69B1">
        <w:t xml:space="preserve">zurückzuführen. Ein </w:t>
      </w:r>
      <w:r w:rsidR="00992BC2">
        <w:t xml:space="preserve">weiterer </w:t>
      </w:r>
      <w:r w:rsidR="00FE69B1">
        <w:t xml:space="preserve">großer Anteil wird von den Stahlbauern abgefangen, die das Risiko schwankender Materialpreise nur zu einem geringen Teil an </w:t>
      </w:r>
      <w:r w:rsidR="00AE6890">
        <w:t>i</w:t>
      </w:r>
      <w:r w:rsidR="00FE69B1">
        <w:t>hre Auftraggeber weiterleiten. Hier wirken vorausschauende Planungen, der Wettbewerb untereinander sowie das Anstreben langfristiger Partnerschaften mit den Kunden preismindernd.</w:t>
      </w:r>
    </w:p>
    <w:p w14:paraId="64CCD048" w14:textId="77777777" w:rsidR="004C03FE" w:rsidRPr="004C03FE" w:rsidRDefault="004C03FE" w:rsidP="00FE69B1"/>
    <w:p w14:paraId="205F37AB" w14:textId="77777777" w:rsidR="004C03FE" w:rsidRPr="004C03FE" w:rsidRDefault="004C03FE" w:rsidP="004C03FE">
      <w:pPr>
        <w:jc w:val="center"/>
      </w:pPr>
      <w:r w:rsidRPr="004C03FE">
        <w:rPr>
          <w:noProof/>
          <w:color w:val="7030A0"/>
        </w:rPr>
        <w:drawing>
          <wp:inline distT="0" distB="0" distL="0" distR="0" wp14:anchorId="1723892B" wp14:editId="1742C4FD">
            <wp:extent cx="5753910" cy="2524760"/>
            <wp:effectExtent l="0" t="0" r="0" b="8890"/>
            <wp:docPr id="3" name="Grafik 2">
              <a:extLst xmlns:a="http://schemas.openxmlformats.org/drawingml/2006/main">
                <a:ext uri="{FF2B5EF4-FFF2-40B4-BE49-F238E27FC236}">
                  <a16:creationId xmlns:a16="http://schemas.microsoft.com/office/drawing/2014/main" id="{EA7D788E-E71A-45C2-A5F4-C20AEF9212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EA7D788E-E71A-45C2-A5F4-C20AEF92126C}"/>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3910" cy="2524760"/>
                    </a:xfrm>
                    <a:prstGeom prst="rect">
                      <a:avLst/>
                    </a:prstGeom>
                  </pic:spPr>
                </pic:pic>
              </a:graphicData>
            </a:graphic>
          </wp:inline>
        </w:drawing>
      </w:r>
    </w:p>
    <w:p w14:paraId="7FE768F8" w14:textId="43C45244" w:rsidR="004C03FE" w:rsidRPr="004C03FE" w:rsidRDefault="004C03FE" w:rsidP="004C03FE">
      <w:pPr>
        <w:rPr>
          <w:i/>
          <w:iCs/>
          <w:sz w:val="18"/>
          <w:szCs w:val="18"/>
        </w:rPr>
      </w:pPr>
      <w:bookmarkStart w:id="5" w:name="_Ref68604835"/>
      <w:r w:rsidRPr="004C03FE">
        <w:rPr>
          <w:i/>
          <w:iCs/>
          <w:sz w:val="18"/>
          <w:szCs w:val="18"/>
        </w:rPr>
        <w:t xml:space="preserve">Abbildung </w:t>
      </w:r>
      <w:r w:rsidRPr="004C03FE">
        <w:rPr>
          <w:i/>
          <w:iCs/>
          <w:sz w:val="18"/>
          <w:szCs w:val="18"/>
        </w:rPr>
        <w:fldChar w:fldCharType="begin"/>
      </w:r>
      <w:r w:rsidRPr="004C03FE">
        <w:rPr>
          <w:i/>
          <w:iCs/>
          <w:sz w:val="18"/>
          <w:szCs w:val="18"/>
        </w:rPr>
        <w:instrText xml:space="preserve"> SEQ Abbildung \* ARABIC </w:instrText>
      </w:r>
      <w:r w:rsidRPr="004C03FE">
        <w:rPr>
          <w:i/>
          <w:iCs/>
          <w:sz w:val="18"/>
          <w:szCs w:val="18"/>
        </w:rPr>
        <w:fldChar w:fldCharType="separate"/>
      </w:r>
      <w:r w:rsidR="00B4039A">
        <w:rPr>
          <w:i/>
          <w:iCs/>
          <w:noProof/>
          <w:sz w:val="18"/>
          <w:szCs w:val="18"/>
        </w:rPr>
        <w:t>6</w:t>
      </w:r>
      <w:r w:rsidRPr="004C03FE">
        <w:rPr>
          <w:i/>
          <w:iCs/>
          <w:noProof/>
          <w:sz w:val="18"/>
          <w:szCs w:val="18"/>
        </w:rPr>
        <w:fldChar w:fldCharType="end"/>
      </w:r>
      <w:bookmarkEnd w:id="5"/>
      <w:r w:rsidRPr="004C03FE">
        <w:rPr>
          <w:i/>
          <w:iCs/>
          <w:sz w:val="18"/>
          <w:szCs w:val="18"/>
        </w:rPr>
        <w:t xml:space="preserve">: Baupreisindizes Stahlbauarbeiten (Datenquelle: </w:t>
      </w:r>
      <w:r w:rsidR="00F62B25">
        <w:rPr>
          <w:i/>
          <w:iCs/>
          <w:sz w:val="18"/>
          <w:szCs w:val="18"/>
        </w:rPr>
        <w:t>GENESIS</w:t>
      </w:r>
      <w:r w:rsidRPr="004C03FE">
        <w:rPr>
          <w:i/>
          <w:iCs/>
          <w:sz w:val="18"/>
          <w:szCs w:val="18"/>
        </w:rPr>
        <w:t>)</w:t>
      </w:r>
    </w:p>
    <w:p w14:paraId="6BB2E7BB" w14:textId="77777777" w:rsidR="004C03FE" w:rsidRPr="004C03FE" w:rsidRDefault="004C03FE" w:rsidP="004C03FE"/>
    <w:p w14:paraId="4970D1AA" w14:textId="6A3F78AC" w:rsidR="004C03FE" w:rsidRPr="004C03FE" w:rsidRDefault="004C03FE" w:rsidP="004C03FE">
      <w:pPr>
        <w:outlineLvl w:val="0"/>
        <w:rPr>
          <w:b/>
          <w:bCs/>
          <w:sz w:val="28"/>
          <w:szCs w:val="28"/>
        </w:rPr>
      </w:pPr>
      <w:r w:rsidRPr="004C03FE">
        <w:rPr>
          <w:b/>
          <w:bCs/>
          <w:sz w:val="28"/>
          <w:szCs w:val="28"/>
        </w:rPr>
        <w:t>Zusammenfassung der Preisindizes</w:t>
      </w:r>
    </w:p>
    <w:p w14:paraId="082853C8" w14:textId="29434449" w:rsidR="004C03FE" w:rsidRPr="004C03FE" w:rsidRDefault="004C03FE" w:rsidP="004C03FE">
      <w:r w:rsidRPr="004C03FE">
        <w:t xml:space="preserve">In </w:t>
      </w:r>
      <w:r w:rsidR="00B76C29">
        <w:fldChar w:fldCharType="begin"/>
      </w:r>
      <w:r w:rsidR="00B76C29">
        <w:instrText xml:space="preserve"> REF _Ref64843640 \h  \* MERGEFORMAT </w:instrText>
      </w:r>
      <w:r w:rsidR="00B76C29">
        <w:fldChar w:fldCharType="separate"/>
      </w:r>
      <w:r w:rsidR="00B4039A" w:rsidRPr="00B4039A">
        <w:t>Abbildung 7</w:t>
      </w:r>
      <w:r w:rsidR="00B76C29">
        <w:fldChar w:fldCharType="end"/>
      </w:r>
      <w:r w:rsidRPr="004C03FE">
        <w:t xml:space="preserve"> werden ausgewählte Linien der oben dargestellten Diagramme zusammengeführt. Das Diagramm zeigt, dass die starken Schwankungen der Rohstoffpreise im Laufe der Wertschöpfungskette nahezu vollständig </w:t>
      </w:r>
      <w:r w:rsidR="0026269D">
        <w:t xml:space="preserve">aufgefangen und </w:t>
      </w:r>
      <w:r w:rsidRPr="004C03FE">
        <w:t>geglättet werden. Dies liegt teilweise an den konträren Preisentwicklungen bei den Rohstoffen selbst sowie an entsprechenden Lieferverträgen der Hersteller</w:t>
      </w:r>
      <w:r w:rsidR="00510F76">
        <w:t>. Beides führt dazu</w:t>
      </w:r>
      <w:r w:rsidRPr="004C03FE">
        <w:t xml:space="preserve">, dass die Preise für Stahlprodukte schon deutlich weniger </w:t>
      </w:r>
      <w:r w:rsidR="00510F76">
        <w:t>schwanken</w:t>
      </w:r>
      <w:r w:rsidRPr="004C03FE">
        <w:t xml:space="preserve">. Die harmonisierende Wirkung der nachgeschalteten Prozesse bewirkt schließlich, dass Bauherren und Planer von der Volatilität der Preise kaum beeinflusst werden. </w:t>
      </w:r>
    </w:p>
    <w:p w14:paraId="0E22DE26" w14:textId="77777777" w:rsidR="004C03FE" w:rsidRPr="004C03FE" w:rsidRDefault="004C03FE" w:rsidP="004C03FE"/>
    <w:p w14:paraId="6AB11E03" w14:textId="77777777" w:rsidR="004C03FE" w:rsidRPr="004C03FE" w:rsidRDefault="004C03FE" w:rsidP="004C03FE">
      <w:pPr>
        <w:rPr>
          <w:i/>
          <w:iCs/>
          <w:sz w:val="18"/>
          <w:szCs w:val="18"/>
        </w:rPr>
      </w:pPr>
      <w:bookmarkStart w:id="6" w:name="_Ref64843546"/>
      <w:r w:rsidRPr="004C03FE">
        <w:rPr>
          <w:i/>
          <w:iCs/>
          <w:noProof/>
          <w:sz w:val="18"/>
          <w:szCs w:val="18"/>
        </w:rPr>
        <w:drawing>
          <wp:inline distT="0" distB="0" distL="0" distR="0" wp14:anchorId="6657F536" wp14:editId="7F2CC7B8">
            <wp:extent cx="5746417" cy="2731135"/>
            <wp:effectExtent l="0" t="0" r="6985" b="0"/>
            <wp:docPr id="4" name="Grafik 1">
              <a:extLst xmlns:a="http://schemas.openxmlformats.org/drawingml/2006/main">
                <a:ext uri="{FF2B5EF4-FFF2-40B4-BE49-F238E27FC236}">
                  <a16:creationId xmlns:a16="http://schemas.microsoft.com/office/drawing/2014/main" id="{64EAEDFF-0B36-4B76-A39D-10FB2F965E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
                      <a:extLst>
                        <a:ext uri="{FF2B5EF4-FFF2-40B4-BE49-F238E27FC236}">
                          <a16:creationId xmlns:a16="http://schemas.microsoft.com/office/drawing/2014/main" id="{64EAEDFF-0B36-4B76-A39D-10FB2F965EC7}"/>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46417" cy="2731135"/>
                    </a:xfrm>
                    <a:prstGeom prst="rect">
                      <a:avLst/>
                    </a:prstGeom>
                  </pic:spPr>
                </pic:pic>
              </a:graphicData>
            </a:graphic>
          </wp:inline>
        </w:drawing>
      </w:r>
    </w:p>
    <w:p w14:paraId="27D93A80" w14:textId="229A808F" w:rsidR="004C03FE" w:rsidRPr="004C03FE" w:rsidRDefault="004C03FE" w:rsidP="004C03FE">
      <w:pPr>
        <w:rPr>
          <w:i/>
          <w:iCs/>
          <w:sz w:val="18"/>
          <w:szCs w:val="18"/>
        </w:rPr>
      </w:pPr>
      <w:bookmarkStart w:id="7" w:name="_Ref64843640"/>
      <w:r w:rsidRPr="004C03FE">
        <w:rPr>
          <w:i/>
          <w:iCs/>
          <w:sz w:val="18"/>
          <w:szCs w:val="18"/>
        </w:rPr>
        <w:t xml:space="preserve">Abbildung </w:t>
      </w:r>
      <w:r w:rsidRPr="004C03FE">
        <w:rPr>
          <w:i/>
          <w:iCs/>
          <w:sz w:val="18"/>
          <w:szCs w:val="18"/>
        </w:rPr>
        <w:fldChar w:fldCharType="begin"/>
      </w:r>
      <w:r w:rsidRPr="004C03FE">
        <w:rPr>
          <w:i/>
          <w:iCs/>
          <w:sz w:val="18"/>
          <w:szCs w:val="18"/>
        </w:rPr>
        <w:instrText xml:space="preserve"> SEQ Abbildung \* ARABIC </w:instrText>
      </w:r>
      <w:r w:rsidRPr="004C03FE">
        <w:rPr>
          <w:i/>
          <w:iCs/>
          <w:sz w:val="18"/>
          <w:szCs w:val="18"/>
        </w:rPr>
        <w:fldChar w:fldCharType="separate"/>
      </w:r>
      <w:r w:rsidR="00B4039A">
        <w:rPr>
          <w:i/>
          <w:iCs/>
          <w:noProof/>
          <w:sz w:val="18"/>
          <w:szCs w:val="18"/>
        </w:rPr>
        <w:t>7</w:t>
      </w:r>
      <w:r w:rsidRPr="004C03FE">
        <w:rPr>
          <w:i/>
          <w:iCs/>
          <w:noProof/>
          <w:sz w:val="18"/>
          <w:szCs w:val="18"/>
        </w:rPr>
        <w:fldChar w:fldCharType="end"/>
      </w:r>
      <w:bookmarkEnd w:id="6"/>
      <w:bookmarkEnd w:id="7"/>
      <w:r w:rsidRPr="004C03FE">
        <w:rPr>
          <w:i/>
          <w:iCs/>
          <w:sz w:val="18"/>
          <w:szCs w:val="18"/>
        </w:rPr>
        <w:t xml:space="preserve">: Übersicht Preisindizes (Datenquelle: </w:t>
      </w:r>
      <w:r w:rsidR="00F62B25">
        <w:rPr>
          <w:i/>
          <w:iCs/>
          <w:sz w:val="18"/>
          <w:szCs w:val="18"/>
        </w:rPr>
        <w:t>GENESIS</w:t>
      </w:r>
      <w:r w:rsidRPr="004C03FE">
        <w:rPr>
          <w:i/>
          <w:iCs/>
          <w:sz w:val="18"/>
          <w:szCs w:val="18"/>
        </w:rPr>
        <w:t xml:space="preserve">) </w:t>
      </w:r>
    </w:p>
    <w:p w14:paraId="53A5F912" w14:textId="77777777" w:rsidR="004C03FE" w:rsidRPr="004C03FE" w:rsidRDefault="004C03FE" w:rsidP="004C03FE"/>
    <w:p w14:paraId="215106B3" w14:textId="77777777" w:rsidR="004C03FE" w:rsidRPr="004C03FE" w:rsidRDefault="004C03FE" w:rsidP="004C03FE">
      <w:pPr>
        <w:outlineLvl w:val="0"/>
        <w:rPr>
          <w:b/>
          <w:bCs/>
          <w:sz w:val="28"/>
          <w:szCs w:val="28"/>
        </w:rPr>
      </w:pPr>
      <w:r w:rsidRPr="004C03FE">
        <w:rPr>
          <w:b/>
          <w:bCs/>
          <w:sz w:val="28"/>
          <w:szCs w:val="28"/>
        </w:rPr>
        <w:t>Anteil der Rohbaukosten an den Gesamtkosten eines Gebäudes</w:t>
      </w:r>
    </w:p>
    <w:p w14:paraId="3C7ACEBB" w14:textId="10C342BA" w:rsidR="004C03FE" w:rsidRPr="00ED19A1" w:rsidRDefault="004C03FE" w:rsidP="004C03FE">
      <w:r w:rsidRPr="004C03FE">
        <w:t>Die</w:t>
      </w:r>
      <w:r w:rsidR="00F10057">
        <w:t xml:space="preserve"> bisherige</w:t>
      </w:r>
      <w:r w:rsidRPr="004C03FE">
        <w:t xml:space="preserve"> </w:t>
      </w:r>
      <w:r w:rsidR="00F10057">
        <w:t>Analyse</w:t>
      </w:r>
      <w:r w:rsidRPr="004C03FE">
        <w:t xml:space="preserve"> hat gezeigt, dass das Material nur einen geringen Einfluss auf die Kosten der Stahlkonstruktion hat. Werden </w:t>
      </w:r>
      <w:r w:rsidR="00F10057">
        <w:t xml:space="preserve">darüber hinaus </w:t>
      </w:r>
      <w:r w:rsidRPr="004C03FE">
        <w:t xml:space="preserve">die Gesamtkosten betrachtet, die ein Gebäude während der Bauphase verursacht, relativieren sich die schwankenden Rohstoff- und Materialpreise weiter: Der Anteil der </w:t>
      </w:r>
      <w:r w:rsidR="00ED19A1">
        <w:t>Tragwerks</w:t>
      </w:r>
      <w:r w:rsidRPr="004C03FE">
        <w:t xml:space="preserve">kosten an den Gesamtkosten </w:t>
      </w:r>
      <w:r w:rsidR="00ED19A1">
        <w:t>eines</w:t>
      </w:r>
      <w:r w:rsidRPr="004C03FE">
        <w:t xml:space="preserve"> Gebäude</w:t>
      </w:r>
      <w:r w:rsidR="00ED19A1">
        <w:t>s</w:t>
      </w:r>
      <w:r w:rsidRPr="004C03FE">
        <w:t xml:space="preserve"> </w:t>
      </w:r>
      <w:r>
        <w:t xml:space="preserve">beträgt </w:t>
      </w:r>
      <w:r w:rsidR="00F10057">
        <w:t>bei Bürogebäuden je nach Ausführungsstandard und individuellen Begebenheiten (Lage, Bodenbeschaffenheit, persönliche Wünsche des Bauherrn usw.) etwa</w:t>
      </w:r>
      <w:r w:rsidR="00ED19A1" w:rsidRPr="00ED19A1">
        <w:t xml:space="preserve"> </w:t>
      </w:r>
      <w:r w:rsidRPr="004C03FE">
        <w:t>ein Viertel</w:t>
      </w:r>
      <w:r w:rsidR="00ED19A1">
        <w:t>, bei gewerblichen Betriebs</w:t>
      </w:r>
      <w:r w:rsidRPr="00ED19A1">
        <w:t xml:space="preserve">gebäuden steigt </w:t>
      </w:r>
      <w:r w:rsidR="00ED19A1">
        <w:t xml:space="preserve">er </w:t>
      </w:r>
      <w:r w:rsidRPr="00ED19A1">
        <w:t>auf etwa ein Drittel</w:t>
      </w:r>
      <w:r w:rsidR="00ED19A1" w:rsidRPr="00ED19A1">
        <w:t xml:space="preserve"> (vgl. </w:t>
      </w:r>
      <w:r w:rsidR="00ED19A1" w:rsidRPr="00ED19A1">
        <w:fldChar w:fldCharType="begin"/>
      </w:r>
      <w:r w:rsidR="00ED19A1" w:rsidRPr="00ED19A1">
        <w:instrText xml:space="preserve"> REF _Ref68690393 \h </w:instrText>
      </w:r>
      <w:r w:rsidR="00ED19A1">
        <w:instrText xml:space="preserve"> \* MERGEFORMAT </w:instrText>
      </w:r>
      <w:r w:rsidR="00ED19A1" w:rsidRPr="00ED19A1">
        <w:fldChar w:fldCharType="separate"/>
      </w:r>
      <w:r w:rsidR="00B4039A" w:rsidRPr="00B4039A">
        <w:t>Abbildung 8</w:t>
      </w:r>
      <w:r w:rsidR="00ED19A1" w:rsidRPr="00ED19A1">
        <w:fldChar w:fldCharType="end"/>
      </w:r>
      <w:r w:rsidR="00ED19A1" w:rsidRPr="00ED19A1">
        <w:t>)</w:t>
      </w:r>
      <w:r w:rsidRPr="00ED19A1">
        <w:t xml:space="preserve">. </w:t>
      </w:r>
      <w:r w:rsidR="00F10057">
        <w:t>Die Preise für das Baugrundstück, etwaige Vorarbeiten, planerische Leistungen usw. sind dabei noch nicht berücksichtigt.</w:t>
      </w:r>
    </w:p>
    <w:p w14:paraId="4E599D45" w14:textId="77777777" w:rsidR="004C03FE" w:rsidRPr="004C03FE" w:rsidRDefault="004C03FE" w:rsidP="004C03FE"/>
    <w:p w14:paraId="5EF348E4" w14:textId="4479D3E8" w:rsidR="004C03FE" w:rsidRPr="004C03FE" w:rsidRDefault="004C03FE" w:rsidP="004C03FE">
      <w:r w:rsidRPr="004C03FE">
        <w:t>Darüber hinaus ist zu bedenken, dass die</w:t>
      </w:r>
      <w:r w:rsidR="00F10057">
        <w:t xml:space="preserve"> initialen K</w:t>
      </w:r>
      <w:r w:rsidRPr="004C03FE">
        <w:t xml:space="preserve">osten nur einen geringen Teil der Lebenszykluskosten eines Gebäudes ausmachen. Der weitaus größere Teil fällt für das Betreiben des Gebäudes sowie etwaige Instandhaltungs- und Reparaturleistungen in der Nutzungsphase an. </w:t>
      </w:r>
    </w:p>
    <w:p w14:paraId="36403117" w14:textId="77777777" w:rsidR="004C03FE" w:rsidRPr="004C03FE" w:rsidRDefault="004C03FE" w:rsidP="004C03FE"/>
    <w:p w14:paraId="0F48B878" w14:textId="05F1652C" w:rsidR="004C03FE" w:rsidRDefault="00134334" w:rsidP="004C03FE">
      <w:r>
        <w:rPr>
          <w:noProof/>
        </w:rPr>
        <w:drawing>
          <wp:inline distT="0" distB="0" distL="0" distR="0" wp14:anchorId="408883F0" wp14:editId="6AF298C4">
            <wp:extent cx="5761355" cy="2595245"/>
            <wp:effectExtent l="19050" t="19050" r="10795" b="1460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4175"/>
                    <a:stretch/>
                  </pic:blipFill>
                  <pic:spPr bwMode="auto">
                    <a:xfrm>
                      <a:off x="0" y="0"/>
                      <a:ext cx="5761355" cy="2595245"/>
                    </a:xfrm>
                    <a:prstGeom prst="rect">
                      <a:avLst/>
                    </a:prstGeom>
                    <a:no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35B62EE" w14:textId="4DBD174C" w:rsidR="00F34294" w:rsidRPr="004C03FE" w:rsidRDefault="00F34294" w:rsidP="00F34294">
      <w:pPr>
        <w:rPr>
          <w:i/>
          <w:iCs/>
          <w:sz w:val="18"/>
          <w:szCs w:val="18"/>
        </w:rPr>
      </w:pPr>
      <w:bookmarkStart w:id="8" w:name="_Ref68690393"/>
      <w:r w:rsidRPr="004C03FE">
        <w:rPr>
          <w:i/>
          <w:iCs/>
          <w:sz w:val="18"/>
          <w:szCs w:val="18"/>
        </w:rPr>
        <w:t xml:space="preserve">Abbildung </w:t>
      </w:r>
      <w:r w:rsidRPr="004C03FE">
        <w:rPr>
          <w:i/>
          <w:iCs/>
          <w:sz w:val="18"/>
          <w:szCs w:val="18"/>
        </w:rPr>
        <w:fldChar w:fldCharType="begin"/>
      </w:r>
      <w:r w:rsidRPr="004C03FE">
        <w:rPr>
          <w:i/>
          <w:iCs/>
          <w:sz w:val="18"/>
          <w:szCs w:val="18"/>
        </w:rPr>
        <w:instrText xml:space="preserve"> SEQ Abbildung \* ARABIC </w:instrText>
      </w:r>
      <w:r w:rsidRPr="004C03FE">
        <w:rPr>
          <w:i/>
          <w:iCs/>
          <w:sz w:val="18"/>
          <w:szCs w:val="18"/>
        </w:rPr>
        <w:fldChar w:fldCharType="separate"/>
      </w:r>
      <w:r w:rsidR="00B4039A">
        <w:rPr>
          <w:i/>
          <w:iCs/>
          <w:noProof/>
          <w:sz w:val="18"/>
          <w:szCs w:val="18"/>
        </w:rPr>
        <w:t>8</w:t>
      </w:r>
      <w:r w:rsidRPr="004C03FE">
        <w:rPr>
          <w:i/>
          <w:iCs/>
          <w:noProof/>
          <w:sz w:val="18"/>
          <w:szCs w:val="18"/>
        </w:rPr>
        <w:fldChar w:fldCharType="end"/>
      </w:r>
      <w:bookmarkEnd w:id="8"/>
      <w:r w:rsidRPr="004C03FE">
        <w:rPr>
          <w:i/>
          <w:iCs/>
          <w:sz w:val="18"/>
          <w:szCs w:val="18"/>
        </w:rPr>
        <w:t>: Richtwerte für die Verteilung der Gesamtkosten eines Gebäudes</w:t>
      </w:r>
      <w:r w:rsidRPr="004C03FE">
        <w:rPr>
          <w:i/>
          <w:iCs/>
          <w:noProof/>
          <w:sz w:val="18"/>
          <w:szCs w:val="18"/>
        </w:rPr>
        <w:t xml:space="preserve"> (</w:t>
      </w:r>
      <w:r w:rsidRPr="004C03FE">
        <w:rPr>
          <w:i/>
          <w:iCs/>
          <w:sz w:val="18"/>
          <w:szCs w:val="18"/>
        </w:rPr>
        <w:t>Datenquelle: DESTATIS)</w:t>
      </w:r>
    </w:p>
    <w:p w14:paraId="73D97ED3" w14:textId="3DD3EFE2" w:rsidR="004C03FE" w:rsidRPr="004C03FE" w:rsidRDefault="004C03FE" w:rsidP="00B4039A">
      <w:pPr>
        <w:keepNext/>
        <w:outlineLvl w:val="0"/>
        <w:rPr>
          <w:b/>
          <w:bCs/>
          <w:sz w:val="28"/>
          <w:szCs w:val="28"/>
        </w:rPr>
      </w:pPr>
      <w:r w:rsidRPr="004C03FE">
        <w:rPr>
          <w:b/>
          <w:bCs/>
          <w:sz w:val="28"/>
          <w:szCs w:val="28"/>
        </w:rPr>
        <w:t>Fazit</w:t>
      </w:r>
    </w:p>
    <w:p w14:paraId="22996A01" w14:textId="53133336" w:rsidR="00252F45" w:rsidRDefault="004C03FE" w:rsidP="004C03FE">
      <w:r w:rsidRPr="004C03FE">
        <w:t xml:space="preserve">Im vorliegenden Beitrag wurde aufgezeigt, dass die Volatilität der Rohstoff- und Materialpreise keinen entscheidenden Einfluss auf die Preisentwicklung im Stahlbau hat. Starke Preissteigerungen, wie sie momentan zu beobachten sind, </w:t>
      </w:r>
      <w:r w:rsidR="00B6388F">
        <w:t xml:space="preserve">sind in der Regel nur von kurzer Dauer und </w:t>
      </w:r>
      <w:r w:rsidRPr="004C03FE">
        <w:t xml:space="preserve">werden in der Wertschöpfungskette </w:t>
      </w:r>
      <w:r w:rsidR="00B6388F">
        <w:t>„</w:t>
      </w:r>
      <w:r w:rsidRPr="004C03FE">
        <w:t xml:space="preserve">Stahlbau“ abgefangen. </w:t>
      </w:r>
      <w:r w:rsidR="00252F45">
        <w:t>Zu beachten ist</w:t>
      </w:r>
      <w:r w:rsidR="00B6388F">
        <w:t xml:space="preserve"> jedoch</w:t>
      </w:r>
      <w:r w:rsidR="00252F45">
        <w:t xml:space="preserve">, dass die dargestellten Preisverläufe auf Monats- bzw. Quartalsbasis keine tagesaktuellen Werte abbilden. In Extremfällen können die Rohstoff- und Materialpreise also noch deutlich stärker schwanken. </w:t>
      </w:r>
    </w:p>
    <w:p w14:paraId="5C0BCA08" w14:textId="77777777" w:rsidR="00252F45" w:rsidRDefault="00252F45" w:rsidP="004C03FE"/>
    <w:p w14:paraId="4BFE78B9" w14:textId="342CBBFE" w:rsidR="004C03FE" w:rsidRPr="004C03FE" w:rsidRDefault="004C03FE" w:rsidP="004C03FE">
      <w:r w:rsidRPr="004C03FE">
        <w:t xml:space="preserve">Einen wesentlichen Beitrag zum Ausgleich der Preisschwankungen leisten die Stahlbauer, die untereinander in hohem Wettbewerb stehen und schon deshalb „am Limit“ kalkulieren. Ihnen </w:t>
      </w:r>
      <w:r w:rsidR="00C32989">
        <w:t>sei</w:t>
      </w:r>
      <w:r w:rsidRPr="004C03FE">
        <w:t xml:space="preserve"> empfohlen, die Risiken steigender Preise über die Vereinbarung von Preisgleitklauseln gerecht zu verteilen und ihren Auftraggebern so gleichzeitig die Chance zu geben, </w:t>
      </w:r>
      <w:r w:rsidRPr="004C03FE">
        <w:rPr>
          <w:rFonts w:eastAsia="Times New Roman"/>
        </w:rPr>
        <w:t xml:space="preserve">von niedrigeren Materialpreisen zu profitieren. </w:t>
      </w:r>
    </w:p>
    <w:p w14:paraId="7C6A27AC" w14:textId="77777777" w:rsidR="004C03FE" w:rsidRPr="004C03FE" w:rsidRDefault="004C03FE" w:rsidP="004C03FE"/>
    <w:p w14:paraId="0F80E2DB" w14:textId="3DEE65F3" w:rsidR="004C03FE" w:rsidRPr="004C03FE" w:rsidRDefault="004C03FE" w:rsidP="004C03FE">
      <w:r w:rsidRPr="004C03FE">
        <w:t>Zur Bewertung des Preisrisikos wurde weiterhin dargelegt, dass der Anteil der Konstruktion und insbesondere des Materials bei Betrachtung des gesamten Lebenszyklus verschwindend gering ist. Im Umkehrschluss bedeutet dies, dass die Wahl des Konstruktionsbaustoffs kaum Einfluss auf die Kosten hat. Somit kann getrost nicht-monetären Faktoren eine größere Bedeutung zufallen, etwa der Ressourcen- und Flächeneffizienz sowie der Umwelt- und Gesundheitsfreundlichkeit der Materialien über ihren gesamten Lebenszyklus.</w:t>
      </w:r>
    </w:p>
    <w:p w14:paraId="5E8B984A" w14:textId="77777777" w:rsidR="004C03FE" w:rsidRPr="004C03FE" w:rsidRDefault="004C03FE" w:rsidP="004C03FE"/>
    <w:p w14:paraId="2C5E3995" w14:textId="77777777" w:rsidR="004C03FE" w:rsidRPr="004C03FE" w:rsidRDefault="004C03FE" w:rsidP="004C03FE">
      <w:pPr>
        <w:outlineLvl w:val="0"/>
        <w:rPr>
          <w:b/>
          <w:bCs/>
          <w:sz w:val="28"/>
          <w:szCs w:val="28"/>
        </w:rPr>
      </w:pPr>
      <w:r w:rsidRPr="004C03FE">
        <w:rPr>
          <w:b/>
          <w:bCs/>
          <w:sz w:val="28"/>
          <w:szCs w:val="28"/>
        </w:rPr>
        <w:t xml:space="preserve">Literatur </w:t>
      </w:r>
    </w:p>
    <w:p w14:paraId="2B41BE00" w14:textId="77777777" w:rsidR="005D2B0E" w:rsidRDefault="005D2B0E" w:rsidP="005D2B0E">
      <w:pPr>
        <w:numPr>
          <w:ilvl w:val="0"/>
          <w:numId w:val="1"/>
        </w:numPr>
        <w:contextualSpacing/>
        <w:rPr>
          <w:rFonts w:eastAsia="Times New Roman"/>
        </w:rPr>
      </w:pPr>
      <w:r w:rsidRPr="004C03FE">
        <w:rPr>
          <w:rFonts w:eastAsia="Times New Roman"/>
        </w:rPr>
        <w:t xml:space="preserve">bauforumstahl: Kosten im Stahlbau 2021, Basisinformationen zur Kalkulation. bauforumstahl e.V., Düsseldorf </w:t>
      </w:r>
    </w:p>
    <w:p w14:paraId="2922764A" w14:textId="77777777" w:rsidR="005D2B0E" w:rsidRPr="004C03FE" w:rsidRDefault="005D2B0E" w:rsidP="005D2B0E">
      <w:pPr>
        <w:numPr>
          <w:ilvl w:val="0"/>
          <w:numId w:val="1"/>
        </w:numPr>
        <w:contextualSpacing/>
        <w:rPr>
          <w:rFonts w:eastAsia="Times New Roman"/>
        </w:rPr>
      </w:pPr>
      <w:r w:rsidRPr="004C03FE">
        <w:rPr>
          <w:rFonts w:eastAsia="Times New Roman"/>
        </w:rPr>
        <w:t xml:space="preserve">DESTATIS: </w:t>
      </w:r>
      <w:r>
        <w:rPr>
          <w:rFonts w:eastAsia="Times New Roman"/>
        </w:rPr>
        <w:t>Statistisches Bundesamt, Preisindizes für die Bauwirtschaft (Fachserie 17 Reihe 4), Ausgabe November 2020, Wiesbaden</w:t>
      </w:r>
    </w:p>
    <w:p w14:paraId="74E24D83" w14:textId="2AC6C054" w:rsidR="00C7225E" w:rsidRDefault="00C7225E" w:rsidP="004C03FE">
      <w:pPr>
        <w:numPr>
          <w:ilvl w:val="0"/>
          <w:numId w:val="1"/>
        </w:numPr>
        <w:contextualSpacing/>
        <w:rPr>
          <w:rFonts w:eastAsia="Times New Roman"/>
        </w:rPr>
      </w:pPr>
      <w:r>
        <w:rPr>
          <w:rFonts w:eastAsia="Times New Roman"/>
        </w:rPr>
        <w:t xml:space="preserve">GENESIS: </w:t>
      </w:r>
      <w:r w:rsidRPr="004C03FE">
        <w:rPr>
          <w:rFonts w:eastAsia="Times New Roman"/>
        </w:rPr>
        <w:t>GENESIS-Datenbank des Statistischen Bundesamtes</w:t>
      </w:r>
      <w:r>
        <w:rPr>
          <w:rFonts w:eastAsia="Times New Roman"/>
        </w:rPr>
        <w:t xml:space="preserve">, </w:t>
      </w:r>
      <w:r w:rsidRPr="004C03FE">
        <w:rPr>
          <w:rFonts w:eastAsia="Times New Roman"/>
        </w:rPr>
        <w:t>Wiesbaden</w:t>
      </w:r>
    </w:p>
    <w:p w14:paraId="736243E3" w14:textId="1BD340FF" w:rsidR="0044358D" w:rsidRDefault="0044358D" w:rsidP="0044358D">
      <w:pPr>
        <w:contextualSpacing/>
        <w:rPr>
          <w:rFonts w:eastAsia="Times New Roman"/>
        </w:rPr>
      </w:pPr>
    </w:p>
    <w:p w14:paraId="59B6DF1F" w14:textId="5987D71F" w:rsidR="0044358D" w:rsidRPr="004C03FE" w:rsidRDefault="0044358D" w:rsidP="0044358D">
      <w:pPr>
        <w:outlineLvl w:val="0"/>
        <w:rPr>
          <w:b/>
          <w:bCs/>
          <w:sz w:val="28"/>
          <w:szCs w:val="28"/>
        </w:rPr>
      </w:pPr>
      <w:r>
        <w:rPr>
          <w:b/>
          <w:bCs/>
          <w:sz w:val="28"/>
          <w:szCs w:val="28"/>
        </w:rPr>
        <w:t>Studie erstellt von</w:t>
      </w:r>
    </w:p>
    <w:p w14:paraId="12712EE9" w14:textId="3404CF52" w:rsidR="0044358D" w:rsidRPr="004C03FE" w:rsidRDefault="0044358D" w:rsidP="0044358D">
      <w:pPr>
        <w:contextualSpacing/>
        <w:rPr>
          <w:rFonts w:eastAsia="Times New Roman"/>
        </w:rPr>
      </w:pPr>
      <w:r>
        <w:t xml:space="preserve">Diana Fischer – Ingenieurbüro Fischer </w:t>
      </w:r>
      <w:r w:rsidR="00AB428E">
        <w:t>–</w:t>
      </w:r>
      <w:r>
        <w:t xml:space="preserve"> Breiten</w:t>
      </w:r>
      <w:r w:rsidR="00AB428E">
        <w:t xml:space="preserve"> </w:t>
      </w:r>
      <w:r>
        <w:t xml:space="preserve">Dyk 76 </w:t>
      </w:r>
      <w:r w:rsidR="00AB428E">
        <w:t>–</w:t>
      </w:r>
      <w:r>
        <w:t xml:space="preserve"> 47803</w:t>
      </w:r>
      <w:r w:rsidR="00AB428E">
        <w:t xml:space="preserve"> </w:t>
      </w:r>
      <w:r>
        <w:t xml:space="preserve">Krefeld – </w:t>
      </w:r>
      <w:hyperlink r:id="rId16" w:history="1">
        <w:r w:rsidRPr="00933521">
          <w:rPr>
            <w:rStyle w:val="Hyperlink"/>
          </w:rPr>
          <w:t>www.fisch-ing.de</w:t>
        </w:r>
      </w:hyperlink>
      <w:r>
        <w:t xml:space="preserve"> </w:t>
      </w:r>
    </w:p>
    <w:sectPr w:rsidR="0044358D" w:rsidRPr="004C03FE" w:rsidSect="0044358D">
      <w:headerReference w:type="default" r:id="rId17"/>
      <w:footerReference w:type="default" r:id="rId18"/>
      <w:headerReference w:type="first" r:id="rId19"/>
      <w:pgSz w:w="11906" w:h="16838"/>
      <w:pgMar w:top="851" w:right="1417" w:bottom="993" w:left="1417" w:header="705"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2EB26E" w14:textId="77777777" w:rsidR="00C50649" w:rsidRDefault="00C50649" w:rsidP="00F36BC0">
      <w:r>
        <w:separator/>
      </w:r>
    </w:p>
  </w:endnote>
  <w:endnote w:type="continuationSeparator" w:id="0">
    <w:p w14:paraId="7F32AA71" w14:textId="77777777" w:rsidR="00C50649" w:rsidRDefault="00C50649" w:rsidP="00F36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C712D" w14:textId="77777777" w:rsidR="00F36BC0" w:rsidRDefault="00F36BC0">
    <w:pPr>
      <w:pStyle w:val="Fuzeile"/>
      <w:jc w:val="center"/>
    </w:pPr>
  </w:p>
  <w:sdt>
    <w:sdtPr>
      <w:id w:val="-1829973906"/>
      <w:docPartObj>
        <w:docPartGallery w:val="Page Numbers (Bottom of Page)"/>
        <w:docPartUnique/>
      </w:docPartObj>
    </w:sdtPr>
    <w:sdtEndPr/>
    <w:sdtContent>
      <w:p w14:paraId="1CCDC018" w14:textId="331E40E5" w:rsidR="00F36BC0" w:rsidRDefault="00F36BC0">
        <w:pPr>
          <w:pStyle w:val="Fuzeile"/>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B2C78A" w14:textId="77777777" w:rsidR="00C50649" w:rsidRDefault="00C50649" w:rsidP="00F36BC0">
      <w:r>
        <w:separator/>
      </w:r>
    </w:p>
  </w:footnote>
  <w:footnote w:type="continuationSeparator" w:id="0">
    <w:p w14:paraId="669961C8" w14:textId="77777777" w:rsidR="00C50649" w:rsidRDefault="00C50649" w:rsidP="00F36B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38400" w14:textId="50B56DCF" w:rsidR="00673567" w:rsidRDefault="00673567" w:rsidP="00673567">
    <w:pPr>
      <w:keepNext/>
      <w:jc w:val="left"/>
    </w:pPr>
    <w:r>
      <w:t xml:space="preserve"> </w:t>
    </w:r>
  </w:p>
  <w:p w14:paraId="4C660EC1" w14:textId="77777777" w:rsidR="00673567" w:rsidRDefault="00673567" w:rsidP="00673567">
    <w:pPr>
      <w:keepNext/>
      <w:jc w:val="left"/>
    </w:pPr>
  </w:p>
  <w:p w14:paraId="6F1EB282" w14:textId="79C74774" w:rsidR="00673567" w:rsidRDefault="0067356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E9FC2" w14:textId="37FA7B0B" w:rsidR="0044358D" w:rsidRDefault="0044358D">
    <w:pPr>
      <w:pStyle w:val="Kopfzeile"/>
    </w:pPr>
    <w:r>
      <w:rPr>
        <w:noProof/>
      </w:rPr>
      <w:drawing>
        <wp:anchor distT="0" distB="0" distL="114300" distR="114300" simplePos="0" relativeHeight="251659264" behindDoc="0" locked="0" layoutInCell="1" allowOverlap="1" wp14:anchorId="65400302" wp14:editId="3FFD6177">
          <wp:simplePos x="0" y="0"/>
          <wp:positionH relativeFrom="column">
            <wp:posOffset>4924425</wp:posOffset>
          </wp:positionH>
          <wp:positionV relativeFrom="paragraph">
            <wp:posOffset>-372110</wp:posOffset>
          </wp:positionV>
          <wp:extent cx="1626870" cy="599317"/>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6870" cy="599317"/>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3214"/>
    <w:multiLevelType w:val="hybridMultilevel"/>
    <w:tmpl w:val="29728466"/>
    <w:lvl w:ilvl="0" w:tplc="53D4686A">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9223ABD"/>
    <w:multiLevelType w:val="hybridMultilevel"/>
    <w:tmpl w:val="FFE6C178"/>
    <w:lvl w:ilvl="0" w:tplc="34806B2C">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A832B2A"/>
    <w:multiLevelType w:val="hybridMultilevel"/>
    <w:tmpl w:val="43AC8DBA"/>
    <w:lvl w:ilvl="0" w:tplc="34806B2C">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E95"/>
    <w:rsid w:val="00051990"/>
    <w:rsid w:val="00085EFE"/>
    <w:rsid w:val="000A0088"/>
    <w:rsid w:val="000B0E95"/>
    <w:rsid w:val="000B2798"/>
    <w:rsid w:val="000D25B7"/>
    <w:rsid w:val="000D7E3A"/>
    <w:rsid w:val="00134334"/>
    <w:rsid w:val="00134E70"/>
    <w:rsid w:val="001465CA"/>
    <w:rsid w:val="00171D8E"/>
    <w:rsid w:val="00192141"/>
    <w:rsid w:val="001B7E9D"/>
    <w:rsid w:val="001D5AFD"/>
    <w:rsid w:val="001E1EFC"/>
    <w:rsid w:val="001F58DF"/>
    <w:rsid w:val="001F76B4"/>
    <w:rsid w:val="00252F45"/>
    <w:rsid w:val="0026269D"/>
    <w:rsid w:val="00265A10"/>
    <w:rsid w:val="00271E68"/>
    <w:rsid w:val="002A65C4"/>
    <w:rsid w:val="002C2C99"/>
    <w:rsid w:val="00344D62"/>
    <w:rsid w:val="00354C97"/>
    <w:rsid w:val="00357AF9"/>
    <w:rsid w:val="00390B65"/>
    <w:rsid w:val="003A7CA7"/>
    <w:rsid w:val="003B5CF8"/>
    <w:rsid w:val="003C5C57"/>
    <w:rsid w:val="003D2C47"/>
    <w:rsid w:val="0040014A"/>
    <w:rsid w:val="004027F3"/>
    <w:rsid w:val="00431D07"/>
    <w:rsid w:val="00441C78"/>
    <w:rsid w:val="0044358D"/>
    <w:rsid w:val="00464F7C"/>
    <w:rsid w:val="0049100C"/>
    <w:rsid w:val="004B39D3"/>
    <w:rsid w:val="004C03FE"/>
    <w:rsid w:val="004D1499"/>
    <w:rsid w:val="004E2FB7"/>
    <w:rsid w:val="00505948"/>
    <w:rsid w:val="00507B90"/>
    <w:rsid w:val="00510F76"/>
    <w:rsid w:val="00511907"/>
    <w:rsid w:val="00570887"/>
    <w:rsid w:val="00572B9B"/>
    <w:rsid w:val="00586C66"/>
    <w:rsid w:val="0059538A"/>
    <w:rsid w:val="005B052F"/>
    <w:rsid w:val="005B1234"/>
    <w:rsid w:val="005D2B0E"/>
    <w:rsid w:val="005D4367"/>
    <w:rsid w:val="006030DE"/>
    <w:rsid w:val="00616735"/>
    <w:rsid w:val="00662312"/>
    <w:rsid w:val="00667CE5"/>
    <w:rsid w:val="00673567"/>
    <w:rsid w:val="00697605"/>
    <w:rsid w:val="006B4026"/>
    <w:rsid w:val="006C0229"/>
    <w:rsid w:val="006D1513"/>
    <w:rsid w:val="006E1551"/>
    <w:rsid w:val="00704837"/>
    <w:rsid w:val="00751450"/>
    <w:rsid w:val="00760655"/>
    <w:rsid w:val="00783321"/>
    <w:rsid w:val="007845A6"/>
    <w:rsid w:val="00791830"/>
    <w:rsid w:val="007D2205"/>
    <w:rsid w:val="007D6E47"/>
    <w:rsid w:val="00807622"/>
    <w:rsid w:val="008132D8"/>
    <w:rsid w:val="00821D93"/>
    <w:rsid w:val="008A0BA9"/>
    <w:rsid w:val="008A4766"/>
    <w:rsid w:val="008B2A24"/>
    <w:rsid w:val="008C017C"/>
    <w:rsid w:val="008E7662"/>
    <w:rsid w:val="008E7CAF"/>
    <w:rsid w:val="00935C60"/>
    <w:rsid w:val="0095134F"/>
    <w:rsid w:val="00967069"/>
    <w:rsid w:val="00992BC2"/>
    <w:rsid w:val="009A20D6"/>
    <w:rsid w:val="009A2F5E"/>
    <w:rsid w:val="009A3C6F"/>
    <w:rsid w:val="009A41ED"/>
    <w:rsid w:val="009B5445"/>
    <w:rsid w:val="009B7D28"/>
    <w:rsid w:val="00A213CD"/>
    <w:rsid w:val="00A44F16"/>
    <w:rsid w:val="00A51DCC"/>
    <w:rsid w:val="00AA29F2"/>
    <w:rsid w:val="00AA6B44"/>
    <w:rsid w:val="00AA705C"/>
    <w:rsid w:val="00AB428E"/>
    <w:rsid w:val="00AB66D6"/>
    <w:rsid w:val="00AC3D1D"/>
    <w:rsid w:val="00AE4E18"/>
    <w:rsid w:val="00AE6890"/>
    <w:rsid w:val="00B17A5F"/>
    <w:rsid w:val="00B2096A"/>
    <w:rsid w:val="00B32036"/>
    <w:rsid w:val="00B4039A"/>
    <w:rsid w:val="00B4634D"/>
    <w:rsid w:val="00B527D5"/>
    <w:rsid w:val="00B6388F"/>
    <w:rsid w:val="00B72773"/>
    <w:rsid w:val="00B76C29"/>
    <w:rsid w:val="00B95195"/>
    <w:rsid w:val="00BB36DC"/>
    <w:rsid w:val="00BC0921"/>
    <w:rsid w:val="00BE4170"/>
    <w:rsid w:val="00C24A9A"/>
    <w:rsid w:val="00C32989"/>
    <w:rsid w:val="00C34C90"/>
    <w:rsid w:val="00C50649"/>
    <w:rsid w:val="00C7225E"/>
    <w:rsid w:val="00C75DC4"/>
    <w:rsid w:val="00C767E7"/>
    <w:rsid w:val="00CA157A"/>
    <w:rsid w:val="00CE52CD"/>
    <w:rsid w:val="00CF2FE9"/>
    <w:rsid w:val="00D045BD"/>
    <w:rsid w:val="00D212EE"/>
    <w:rsid w:val="00D80DF9"/>
    <w:rsid w:val="00D9484D"/>
    <w:rsid w:val="00DA577C"/>
    <w:rsid w:val="00DF143B"/>
    <w:rsid w:val="00DF1A17"/>
    <w:rsid w:val="00DF5A76"/>
    <w:rsid w:val="00E43F21"/>
    <w:rsid w:val="00E7043B"/>
    <w:rsid w:val="00E86C0D"/>
    <w:rsid w:val="00EA37A0"/>
    <w:rsid w:val="00ED00C6"/>
    <w:rsid w:val="00ED19A1"/>
    <w:rsid w:val="00EE3320"/>
    <w:rsid w:val="00EE36E4"/>
    <w:rsid w:val="00F10057"/>
    <w:rsid w:val="00F11298"/>
    <w:rsid w:val="00F34294"/>
    <w:rsid w:val="00F36BC0"/>
    <w:rsid w:val="00F4293F"/>
    <w:rsid w:val="00F5121E"/>
    <w:rsid w:val="00F62B25"/>
    <w:rsid w:val="00F67F5C"/>
    <w:rsid w:val="00F97FC1"/>
    <w:rsid w:val="00FA1D80"/>
    <w:rsid w:val="00FC239C"/>
    <w:rsid w:val="00FC2EBF"/>
    <w:rsid w:val="00FC3D1A"/>
    <w:rsid w:val="00FD1692"/>
    <w:rsid w:val="00FD4CE0"/>
    <w:rsid w:val="00FD6C71"/>
    <w:rsid w:val="00FE69B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34F8F0"/>
  <w15:chartTrackingRefBased/>
  <w15:docId w15:val="{FA863D9C-CCF8-4E46-8F81-F408A9082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4358D"/>
    <w:pPr>
      <w:spacing w:after="0" w:line="240" w:lineRule="auto"/>
      <w:jc w:val="both"/>
    </w:pPr>
  </w:style>
  <w:style w:type="paragraph" w:styleId="berschrift1">
    <w:name w:val="heading 1"/>
    <w:basedOn w:val="Standard"/>
    <w:next w:val="Standard"/>
    <w:link w:val="berschrift1Zchn"/>
    <w:uiPriority w:val="9"/>
    <w:qFormat/>
    <w:rsid w:val="00DA577C"/>
    <w:pPr>
      <w:keepNext/>
      <w:keepLines/>
      <w:spacing w:before="240"/>
      <w:outlineLvl w:val="0"/>
    </w:pPr>
    <w:rPr>
      <w:rFonts w:eastAsiaTheme="majorEastAsia" w:cstheme="majorBidi"/>
      <w:b/>
      <w:sz w:val="32"/>
      <w:szCs w:val="32"/>
    </w:rPr>
  </w:style>
  <w:style w:type="paragraph" w:styleId="berschrift2">
    <w:name w:val="heading 2"/>
    <w:basedOn w:val="Standard"/>
    <w:next w:val="Standard"/>
    <w:link w:val="berschrift2Zchn"/>
    <w:uiPriority w:val="9"/>
    <w:unhideWhenUsed/>
    <w:qFormat/>
    <w:rsid w:val="00DA577C"/>
    <w:pPr>
      <w:keepNext/>
      <w:keepLines/>
      <w:spacing w:before="40"/>
      <w:outlineLvl w:val="1"/>
    </w:pPr>
    <w:rPr>
      <w:rFonts w:eastAsiaTheme="majorEastAsia" w:cstheme="majorBidi"/>
      <w:b/>
      <w:sz w:val="26"/>
      <w:szCs w:val="26"/>
    </w:rPr>
  </w:style>
  <w:style w:type="paragraph" w:styleId="berschrift3">
    <w:name w:val="heading 3"/>
    <w:basedOn w:val="Standard"/>
    <w:next w:val="Standard"/>
    <w:link w:val="berschrift3Zchn"/>
    <w:uiPriority w:val="9"/>
    <w:unhideWhenUsed/>
    <w:qFormat/>
    <w:rsid w:val="00DA577C"/>
    <w:pPr>
      <w:keepNext/>
      <w:keepLines/>
      <w:spacing w:before="40"/>
      <w:outlineLvl w:val="2"/>
    </w:pPr>
    <w:rPr>
      <w:rFonts w:eastAsiaTheme="majorEastAsia" w:cstheme="majorBidi"/>
      <w:b/>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A577C"/>
    <w:rPr>
      <w:rFonts w:eastAsiaTheme="majorEastAsia" w:cstheme="majorBidi"/>
      <w:b/>
      <w:sz w:val="32"/>
      <w:szCs w:val="32"/>
    </w:rPr>
  </w:style>
  <w:style w:type="character" w:customStyle="1" w:styleId="berschrift3Zchn">
    <w:name w:val="Überschrift 3 Zchn"/>
    <w:basedOn w:val="Absatz-Standardschriftart"/>
    <w:link w:val="berschrift3"/>
    <w:uiPriority w:val="9"/>
    <w:rsid w:val="00DA577C"/>
    <w:rPr>
      <w:rFonts w:eastAsiaTheme="majorEastAsia" w:cstheme="majorBidi"/>
      <w:b/>
      <w:sz w:val="24"/>
      <w:szCs w:val="24"/>
    </w:rPr>
  </w:style>
  <w:style w:type="character" w:customStyle="1" w:styleId="berschrift2Zchn">
    <w:name w:val="Überschrift 2 Zchn"/>
    <w:basedOn w:val="Absatz-Standardschriftart"/>
    <w:link w:val="berschrift2"/>
    <w:uiPriority w:val="9"/>
    <w:rsid w:val="00DA577C"/>
    <w:rPr>
      <w:rFonts w:eastAsiaTheme="majorEastAsia" w:cstheme="majorBidi"/>
      <w:b/>
      <w:sz w:val="26"/>
      <w:szCs w:val="26"/>
    </w:rPr>
  </w:style>
  <w:style w:type="paragraph" w:customStyle="1" w:styleId="Default">
    <w:name w:val="Default"/>
    <w:rsid w:val="00271E68"/>
    <w:pPr>
      <w:autoSpaceDE w:val="0"/>
      <w:autoSpaceDN w:val="0"/>
      <w:adjustRightInd w:val="0"/>
      <w:spacing w:after="0" w:line="240" w:lineRule="auto"/>
    </w:pPr>
    <w:rPr>
      <w:rFonts w:ascii="Trebuchet MS" w:hAnsi="Trebuchet MS" w:cs="Trebuchet MS"/>
      <w:color w:val="000000"/>
      <w:sz w:val="24"/>
      <w:szCs w:val="24"/>
    </w:rPr>
  </w:style>
  <w:style w:type="character" w:styleId="Hyperlink">
    <w:name w:val="Hyperlink"/>
    <w:basedOn w:val="Absatz-Standardschriftart"/>
    <w:uiPriority w:val="99"/>
    <w:unhideWhenUsed/>
    <w:rsid w:val="00271E68"/>
    <w:rPr>
      <w:color w:val="0563C1" w:themeColor="hyperlink"/>
      <w:u w:val="single"/>
    </w:rPr>
  </w:style>
  <w:style w:type="paragraph" w:styleId="Listenabsatz">
    <w:name w:val="List Paragraph"/>
    <w:basedOn w:val="Standard"/>
    <w:uiPriority w:val="34"/>
    <w:qFormat/>
    <w:rsid w:val="000D25B7"/>
    <w:pPr>
      <w:ind w:left="720"/>
      <w:contextualSpacing/>
    </w:pPr>
  </w:style>
  <w:style w:type="table" w:styleId="Tabellenraster">
    <w:name w:val="Table Grid"/>
    <w:basedOn w:val="NormaleTabelle"/>
    <w:uiPriority w:val="39"/>
    <w:rsid w:val="000D2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0D25B7"/>
    <w:rPr>
      <w:i/>
      <w:iCs/>
      <w:sz w:val="18"/>
      <w:szCs w:val="18"/>
    </w:rPr>
  </w:style>
  <w:style w:type="character" w:styleId="Kommentarzeichen">
    <w:name w:val="annotation reference"/>
    <w:basedOn w:val="Absatz-Standardschriftart"/>
    <w:uiPriority w:val="99"/>
    <w:semiHidden/>
    <w:unhideWhenUsed/>
    <w:rsid w:val="000D25B7"/>
    <w:rPr>
      <w:sz w:val="16"/>
      <w:szCs w:val="16"/>
    </w:rPr>
  </w:style>
  <w:style w:type="paragraph" w:styleId="Kommentartext">
    <w:name w:val="annotation text"/>
    <w:basedOn w:val="Standard"/>
    <w:link w:val="KommentartextZchn"/>
    <w:uiPriority w:val="99"/>
    <w:semiHidden/>
    <w:unhideWhenUsed/>
    <w:rsid w:val="000D25B7"/>
    <w:rPr>
      <w:sz w:val="20"/>
      <w:szCs w:val="20"/>
    </w:rPr>
  </w:style>
  <w:style w:type="character" w:customStyle="1" w:styleId="KommentartextZchn">
    <w:name w:val="Kommentartext Zchn"/>
    <w:basedOn w:val="Absatz-Standardschriftart"/>
    <w:link w:val="Kommentartext"/>
    <w:uiPriority w:val="99"/>
    <w:semiHidden/>
    <w:rsid w:val="000D25B7"/>
    <w:rPr>
      <w:sz w:val="20"/>
      <w:szCs w:val="20"/>
    </w:rPr>
  </w:style>
  <w:style w:type="table" w:customStyle="1" w:styleId="Tabellenraster1">
    <w:name w:val="Tabellenraster1"/>
    <w:basedOn w:val="NormaleTabelle"/>
    <w:next w:val="Tabellenraster"/>
    <w:uiPriority w:val="39"/>
    <w:rsid w:val="004C0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F36BC0"/>
    <w:pPr>
      <w:tabs>
        <w:tab w:val="center" w:pos="4536"/>
        <w:tab w:val="right" w:pos="9072"/>
      </w:tabs>
    </w:pPr>
  </w:style>
  <w:style w:type="character" w:customStyle="1" w:styleId="KopfzeileZchn">
    <w:name w:val="Kopfzeile Zchn"/>
    <w:basedOn w:val="Absatz-Standardschriftart"/>
    <w:link w:val="Kopfzeile"/>
    <w:uiPriority w:val="99"/>
    <w:rsid w:val="00F36BC0"/>
  </w:style>
  <w:style w:type="paragraph" w:styleId="Fuzeile">
    <w:name w:val="footer"/>
    <w:basedOn w:val="Standard"/>
    <w:link w:val="FuzeileZchn"/>
    <w:uiPriority w:val="99"/>
    <w:unhideWhenUsed/>
    <w:rsid w:val="00F36BC0"/>
    <w:pPr>
      <w:tabs>
        <w:tab w:val="center" w:pos="4536"/>
        <w:tab w:val="right" w:pos="9072"/>
      </w:tabs>
    </w:pPr>
  </w:style>
  <w:style w:type="character" w:customStyle="1" w:styleId="FuzeileZchn">
    <w:name w:val="Fußzeile Zchn"/>
    <w:basedOn w:val="Absatz-Standardschriftart"/>
    <w:link w:val="Fuzeile"/>
    <w:uiPriority w:val="99"/>
    <w:rsid w:val="00F36BC0"/>
  </w:style>
  <w:style w:type="character" w:styleId="NichtaufgelsteErwhnung">
    <w:name w:val="Unresolved Mention"/>
    <w:basedOn w:val="Absatz-Standardschriftart"/>
    <w:uiPriority w:val="99"/>
    <w:semiHidden/>
    <w:unhideWhenUsed/>
    <w:rsid w:val="00C34C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fisch-ing.d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FC0D5-DC89-48A8-9B34-90A1C6EAA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2018</Words>
  <Characters>12717</Characters>
  <Application>Microsoft Office Word</Application>
  <DocSecurity>0</DocSecurity>
  <Lines>105</Lines>
  <Paragraphs>29</Paragraphs>
  <ScaleCrop>false</ScaleCrop>
  <HeadingPairs>
    <vt:vector size="4" baseType="variant">
      <vt:variant>
        <vt:lpstr>Titel</vt:lpstr>
      </vt:variant>
      <vt:variant>
        <vt:i4>1</vt:i4>
      </vt:variant>
      <vt:variant>
        <vt:lpstr>Überschriften</vt:lpstr>
      </vt:variant>
      <vt:variant>
        <vt:i4>23</vt:i4>
      </vt:variant>
    </vt:vector>
  </HeadingPairs>
  <TitlesOfParts>
    <vt:vector size="24" baseType="lpstr">
      <vt:lpstr/>
      <vt:lpstr>Wertschöpfungskette „Stahlbau“ </vt:lpstr>
      <vt:lpstr>    Rohstoffabbau und -aufbereitung</vt:lpstr>
      <vt:lpstr>    Herstellung der Stahlprofile und -bleche</vt:lpstr>
      <vt:lpstr>    Handel </vt:lpstr>
      <vt:lpstr>    Herstellung der Stahlkonstruktion</vt:lpstr>
      <vt:lpstr>    Transport und Montage </vt:lpstr>
      <vt:lpstr>    Nutzung</vt:lpstr>
      <vt:lpstr>    Demontage</vt:lpstr>
      <vt:lpstr>Preisbildung im Stahlbau</vt:lpstr>
      <vt:lpstr>Preisentwicklungen</vt:lpstr>
      <vt:lpstr>    Rohstoffe</vt:lpstr>
      <vt:lpstr>    Stahlprodukte</vt:lpstr>
      <vt:lpstr>    Fertigung</vt:lpstr>
      <vt:lpstr>    Korrosions- und Brandschutz</vt:lpstr>
      <vt:lpstr>    Baupreise</vt:lpstr>
      <vt:lpstr>Zusammenfassung der Preisindizes</vt:lpstr>
      <vt:lpstr>Anteil der Rohbaukosten an den Gesamtkosten eines Gebäudes</vt:lpstr>
      <vt:lpstr>Fazit</vt:lpstr>
      <vt:lpstr>Literatur </vt:lpstr>
      <vt:lpstr>Informationen zur Veröffentlichung</vt:lpstr>
      <vt:lpstr>Verwertungsrechte</vt:lpstr>
      <vt:lpstr>Der Text sowie die beigefügten Bilder stehen bis zum 30.06.2021 unter https://fi</vt:lpstr>
      <vt:lpstr/>
    </vt:vector>
  </TitlesOfParts>
  <Company/>
  <LinksUpToDate>false</LinksUpToDate>
  <CharactersWithSpaces>14706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Fischer</dc:creator>
  <cp:keywords/>
  <dc:description/>
  <cp:lastModifiedBy>Diana Fischer</cp:lastModifiedBy>
  <cp:revision>176</cp:revision>
  <dcterms:created xsi:type="dcterms:W3CDTF">2021-04-06T06:14:00Z</dcterms:created>
  <dcterms:modified xsi:type="dcterms:W3CDTF">2021-04-13T15:38:00Z</dcterms:modified>
</cp:coreProperties>
</file>